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Cs/>
          <w:sz w:val="28"/>
          <w:szCs w:val="28"/>
        </w:rPr>
      </w:pPr>
    </w:p>
    <w:p>
      <w:pPr>
        <w:widowControl/>
        <w:jc w:val="center"/>
        <w:rPr>
          <w:bCs/>
          <w:sz w:val="28"/>
          <w:szCs w:val="28"/>
        </w:rPr>
      </w:pPr>
    </w:p>
    <w:p>
      <w:pPr>
        <w:widowControl/>
        <w:jc w:val="center"/>
        <w:rPr>
          <w:bCs/>
          <w:sz w:val="28"/>
          <w:szCs w:val="28"/>
        </w:rPr>
      </w:pPr>
      <w:r>
        <w:rPr>
          <w:bCs/>
          <w:sz w:val="28"/>
          <w:szCs w:val="28"/>
        </w:rPr>
        <w:drawing>
          <wp:inline distT="0" distB="0" distL="0" distR="0">
            <wp:extent cx="1943100" cy="2090420"/>
            <wp:effectExtent l="0" t="0" r="0" b="0"/>
            <wp:docPr id="8" name="图片 8" descr="E:\8.邕大素材\南宁学院LOGO\南院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8.邕大素材\南宁学院LOGO\南院logo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44689" cy="2092710"/>
                    </a:xfrm>
                    <a:prstGeom prst="rect">
                      <a:avLst/>
                    </a:prstGeom>
                    <a:noFill/>
                    <a:ln>
                      <a:noFill/>
                    </a:ln>
                  </pic:spPr>
                </pic:pic>
              </a:graphicData>
            </a:graphic>
          </wp:inline>
        </w:drawing>
      </w:r>
    </w:p>
    <w:p>
      <w:pPr>
        <w:widowControl/>
        <w:jc w:val="center"/>
        <w:rPr>
          <w:bCs/>
          <w:sz w:val="28"/>
          <w:szCs w:val="28"/>
        </w:rPr>
      </w:pPr>
    </w:p>
    <w:p>
      <w:pPr>
        <w:widowControl/>
        <w:jc w:val="center"/>
        <w:rPr>
          <w:bCs/>
          <w:sz w:val="28"/>
          <w:szCs w:val="28"/>
        </w:rPr>
      </w:pPr>
    </w:p>
    <w:p>
      <w:pPr>
        <w:widowControl/>
        <w:spacing w:line="420" w:lineRule="atLeast"/>
        <w:jc w:val="center"/>
        <w:rPr>
          <w:rFonts w:hint="eastAsia" w:ascii="黑体" w:hAnsi="黑体" w:eastAsia="黑体" w:cs="黑体"/>
          <w:bCs/>
          <w:kern w:val="0"/>
          <w:sz w:val="84"/>
          <w:szCs w:val="84"/>
        </w:rPr>
      </w:pPr>
      <w:r>
        <w:rPr>
          <w:rFonts w:hint="eastAsia" w:ascii="黑体" w:hAnsi="黑体" w:eastAsia="黑体" w:cs="黑体"/>
          <w:bCs/>
          <w:kern w:val="0"/>
          <w:sz w:val="84"/>
          <w:szCs w:val="84"/>
        </w:rPr>
        <w:t>本科教学质量报告</w:t>
      </w:r>
    </w:p>
    <w:p>
      <w:pPr>
        <w:widowControl/>
        <w:spacing w:line="420" w:lineRule="atLeast"/>
        <w:jc w:val="center"/>
        <w:rPr>
          <w:rFonts w:hint="eastAsia" w:ascii="黑体" w:hAnsi="黑体" w:eastAsia="黑体" w:cs="黑体"/>
          <w:bCs/>
          <w:kern w:val="0"/>
          <w:sz w:val="84"/>
          <w:szCs w:val="84"/>
        </w:rPr>
      </w:pPr>
      <w:r>
        <w:rPr>
          <w:rFonts w:hint="eastAsia" w:ascii="黑体" w:hAnsi="黑体" w:eastAsia="黑体" w:cs="黑体"/>
          <w:bCs/>
          <w:kern w:val="0"/>
          <w:sz w:val="84"/>
          <w:szCs w:val="84"/>
          <w:lang w:eastAsia="zh-CN"/>
        </w:rPr>
        <w:t>（</w:t>
      </w:r>
      <w:r>
        <w:rPr>
          <w:rFonts w:hint="eastAsia" w:ascii="黑体" w:hAnsi="黑体" w:eastAsia="黑体" w:cs="黑体"/>
          <w:bCs/>
          <w:kern w:val="0"/>
          <w:sz w:val="84"/>
          <w:szCs w:val="84"/>
        </w:rPr>
        <w:t>201</w:t>
      </w:r>
      <w:r>
        <w:rPr>
          <w:rFonts w:hint="eastAsia" w:ascii="黑体" w:hAnsi="黑体" w:eastAsia="黑体" w:cs="黑体"/>
          <w:bCs/>
          <w:kern w:val="0"/>
          <w:sz w:val="84"/>
          <w:szCs w:val="84"/>
          <w:lang w:val="en-US" w:eastAsia="zh-CN"/>
        </w:rPr>
        <w:t>7</w:t>
      </w:r>
      <w:r>
        <w:rPr>
          <w:rFonts w:hint="eastAsia" w:ascii="黑体" w:hAnsi="黑体" w:eastAsia="黑体" w:cs="黑体"/>
          <w:bCs/>
          <w:kern w:val="0"/>
          <w:sz w:val="84"/>
          <w:szCs w:val="84"/>
        </w:rPr>
        <w:t>-201</w:t>
      </w:r>
      <w:r>
        <w:rPr>
          <w:rFonts w:hint="eastAsia" w:ascii="黑体" w:hAnsi="黑体" w:eastAsia="黑体" w:cs="黑体"/>
          <w:bCs/>
          <w:kern w:val="0"/>
          <w:sz w:val="84"/>
          <w:szCs w:val="84"/>
          <w:lang w:val="en-US" w:eastAsia="zh-CN"/>
        </w:rPr>
        <w:t>8</w:t>
      </w:r>
      <w:r>
        <w:rPr>
          <w:rFonts w:hint="eastAsia" w:ascii="黑体" w:hAnsi="黑体" w:eastAsia="黑体" w:cs="黑体"/>
          <w:bCs/>
          <w:kern w:val="0"/>
          <w:sz w:val="84"/>
          <w:szCs w:val="84"/>
        </w:rPr>
        <w:t>学年</w:t>
      </w:r>
      <w:r>
        <w:rPr>
          <w:rFonts w:hint="eastAsia" w:ascii="黑体" w:hAnsi="黑体" w:eastAsia="黑体" w:cs="黑体"/>
          <w:bCs/>
          <w:kern w:val="0"/>
          <w:sz w:val="84"/>
          <w:szCs w:val="84"/>
          <w:lang w:eastAsia="zh-CN"/>
        </w:rPr>
        <w:t>）</w:t>
      </w: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bCs/>
          <w:sz w:val="28"/>
          <w:szCs w:val="28"/>
        </w:rPr>
      </w:pPr>
    </w:p>
    <w:p>
      <w:pPr>
        <w:widowControl/>
        <w:jc w:val="center"/>
        <w:rPr>
          <w:rFonts w:ascii="黑体" w:eastAsia="黑体"/>
          <w:bCs/>
          <w:sz w:val="36"/>
          <w:szCs w:val="36"/>
        </w:rPr>
      </w:pPr>
      <w:r>
        <w:rPr>
          <w:rFonts w:hint="eastAsia" w:ascii="黑体" w:eastAsia="黑体"/>
          <w:bCs/>
          <w:sz w:val="36"/>
          <w:szCs w:val="36"/>
        </w:rPr>
        <w:t>南宁学院</w:t>
      </w:r>
    </w:p>
    <w:p>
      <w:pPr>
        <w:widowControl/>
        <w:jc w:val="center"/>
        <w:rPr>
          <w:rFonts w:ascii="黑体" w:eastAsia="黑体"/>
          <w:bCs/>
          <w:sz w:val="36"/>
          <w:szCs w:val="36"/>
        </w:rPr>
      </w:pPr>
      <w:r>
        <w:rPr>
          <w:rFonts w:hint="eastAsia" w:ascii="黑体" w:eastAsia="黑体"/>
          <w:bCs/>
          <w:sz w:val="36"/>
          <w:szCs w:val="36"/>
        </w:rPr>
        <w:t xml:space="preserve"> 201</w:t>
      </w:r>
      <w:r>
        <w:rPr>
          <w:rFonts w:hint="eastAsia" w:ascii="黑体" w:eastAsia="黑体"/>
          <w:bCs/>
          <w:sz w:val="36"/>
          <w:szCs w:val="36"/>
          <w:lang w:val="en-US" w:eastAsia="zh-CN"/>
        </w:rPr>
        <w:t>8</w:t>
      </w:r>
      <w:r>
        <w:rPr>
          <w:rFonts w:hint="eastAsia" w:ascii="黑体" w:eastAsia="黑体"/>
          <w:bCs/>
          <w:sz w:val="36"/>
          <w:szCs w:val="36"/>
        </w:rPr>
        <w:t>年1</w:t>
      </w:r>
      <w:r>
        <w:rPr>
          <w:rFonts w:hint="eastAsia" w:ascii="黑体" w:eastAsia="黑体"/>
          <w:bCs/>
          <w:sz w:val="36"/>
          <w:szCs w:val="36"/>
          <w:lang w:val="en-US" w:eastAsia="zh-CN"/>
        </w:rPr>
        <w:t>2</w:t>
      </w:r>
      <w:r>
        <w:rPr>
          <w:rFonts w:hint="eastAsia" w:ascii="黑体" w:eastAsia="黑体"/>
          <w:bCs/>
          <w:sz w:val="36"/>
          <w:szCs w:val="36"/>
        </w:rPr>
        <w:t>月</w:t>
      </w:r>
    </w:p>
    <w:p>
      <w:pPr>
        <w:jc w:val="center"/>
        <w:rPr>
          <w:lang w:val="zh-CN"/>
        </w:rPr>
      </w:pPr>
    </w:p>
    <w:p>
      <w:pPr>
        <w:jc w:val="center"/>
        <w:rPr>
          <w:lang w:val="zh-CN"/>
        </w:rPr>
      </w:pPr>
    </w:p>
    <w:p>
      <w:pPr>
        <w:jc w:val="center"/>
        <w:rPr>
          <w:lang w:val="zh-CN"/>
        </w:rPr>
      </w:pPr>
    </w:p>
    <w:p>
      <w:pPr>
        <w:jc w:val="center"/>
        <w:rPr>
          <w:lang w:val="zh-CN"/>
        </w:rPr>
      </w:pPr>
    </w:p>
    <w:p>
      <w:pPr>
        <w:jc w:val="center"/>
        <w:rPr>
          <w:lang w:val="zh-CN"/>
        </w:rPr>
      </w:pPr>
    </w:p>
    <w:p>
      <w:pPr>
        <w:jc w:val="center"/>
        <w:rPr>
          <w:lang w:val="zh-CN"/>
        </w:rPr>
      </w:pPr>
    </w:p>
    <w:p>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zh-CN"/>
        </w:rPr>
        <w:sectPr>
          <w:footerReference r:id="rId3" w:type="default"/>
          <w:pgSz w:w="11910" w:h="16840"/>
          <w:pgMar w:top="1400" w:right="1000" w:bottom="1160" w:left="1260" w:header="0" w:footer="964" w:gutter="0"/>
          <w:pgBorders>
            <w:top w:val="none" w:sz="0" w:space="0"/>
            <w:left w:val="none" w:sz="0" w:space="0"/>
            <w:bottom w:val="none" w:sz="0" w:space="0"/>
            <w:right w:val="none" w:sz="0" w:space="0"/>
          </w:pgBorders>
          <w:pgNumType w:start="1"/>
        </w:sectPr>
      </w:pPr>
    </w:p>
    <w:sdt>
      <w:sdtPr>
        <w:rPr>
          <w:rFonts w:hint="eastAsia" w:ascii="黑体" w:hAnsi="黑体" w:eastAsia="黑体" w:cs="黑体"/>
          <w:sz w:val="32"/>
          <w:szCs w:val="32"/>
          <w:lang w:val="zh-CN"/>
        </w:rPr>
        <w:id w:val="4218534"/>
        <w:docPartObj>
          <w:docPartGallery w:val="Table of Contents"/>
          <w:docPartUnique/>
        </w:docPartObj>
      </w:sdtPr>
      <w:sdtEndPr>
        <w:rPr>
          <w:rFonts w:hint="eastAsia" w:ascii="黑体" w:hAnsi="黑体" w:eastAsia="黑体" w:cs="黑体"/>
          <w:sz w:val="32"/>
          <w:szCs w:val="32"/>
          <w:lang w:val="en-US"/>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0"/>
            <w:tabs>
              <w:tab w:val="right" w:leader="dot" w:pos="9650"/>
            </w:tabs>
          </w:pPr>
          <w:r>
            <w:fldChar w:fldCharType="begin"/>
          </w:r>
          <w:r>
            <w:instrText xml:space="preserve"> TOC \o "1-3" \h \z \u </w:instrText>
          </w:r>
          <w:r>
            <w:fldChar w:fldCharType="separate"/>
          </w:r>
          <w:r>
            <w:fldChar w:fldCharType="begin"/>
          </w:r>
          <w:r>
            <w:instrText xml:space="preserve"> HYPERLINK \l _Toc7475 </w:instrText>
          </w:r>
          <w:r>
            <w:fldChar w:fldCharType="separate"/>
          </w:r>
          <w:r>
            <w:rPr>
              <w:rFonts w:hint="eastAsia" w:ascii="黑体" w:hAnsi="黑体" w:eastAsia="黑体"/>
              <w:szCs w:val="30"/>
            </w:rPr>
            <w:t>一、本科教育基本情况</w:t>
          </w:r>
          <w:r>
            <w:tab/>
          </w:r>
          <w:r>
            <w:fldChar w:fldCharType="begin"/>
          </w:r>
          <w:r>
            <w:instrText xml:space="preserve"> PAGEREF _Toc7475 </w:instrText>
          </w:r>
          <w:r>
            <w:fldChar w:fldCharType="separate"/>
          </w:r>
          <w:r>
            <w:t>1</w:t>
          </w:r>
          <w:r>
            <w:fldChar w:fldCharType="end"/>
          </w:r>
          <w:r>
            <w:fldChar w:fldCharType="end"/>
          </w:r>
        </w:p>
        <w:p>
          <w:pPr>
            <w:pStyle w:val="11"/>
            <w:tabs>
              <w:tab w:val="right" w:leader="dot" w:pos="9650"/>
            </w:tabs>
          </w:pPr>
          <w:r>
            <w:fldChar w:fldCharType="begin"/>
          </w:r>
          <w:r>
            <w:instrText xml:space="preserve"> HYPERLINK \l _Toc27267 </w:instrText>
          </w:r>
          <w:r>
            <w:fldChar w:fldCharType="separate"/>
          </w:r>
          <w:r>
            <w:rPr>
              <w:rFonts w:hint="eastAsia" w:ascii="黑体" w:hAnsi="黑体" w:eastAsia="黑体"/>
              <w:szCs w:val="28"/>
            </w:rPr>
            <w:t>（一）</w:t>
          </w:r>
          <w:r>
            <w:rPr>
              <w:rFonts w:hint="eastAsia" w:ascii="黑体" w:hAnsi="黑体" w:eastAsia="黑体"/>
              <w:szCs w:val="28"/>
              <w:lang w:eastAsia="zh-CN"/>
            </w:rPr>
            <w:t>本科人才培养目标和服务面向</w:t>
          </w:r>
          <w:r>
            <w:tab/>
          </w:r>
          <w:r>
            <w:fldChar w:fldCharType="begin"/>
          </w:r>
          <w:r>
            <w:instrText xml:space="preserve"> PAGEREF _Toc27267 </w:instrText>
          </w:r>
          <w:r>
            <w:fldChar w:fldCharType="separate"/>
          </w:r>
          <w:r>
            <w:t>1</w:t>
          </w:r>
          <w:r>
            <w:fldChar w:fldCharType="end"/>
          </w:r>
          <w:r>
            <w:fldChar w:fldCharType="end"/>
          </w:r>
        </w:p>
        <w:p>
          <w:pPr>
            <w:pStyle w:val="11"/>
            <w:tabs>
              <w:tab w:val="right" w:leader="dot" w:pos="9650"/>
            </w:tabs>
          </w:pPr>
          <w:r>
            <w:fldChar w:fldCharType="begin"/>
          </w:r>
          <w:r>
            <w:instrText xml:space="preserve"> HYPERLINK \l _Toc13638 </w:instrText>
          </w:r>
          <w:r>
            <w:fldChar w:fldCharType="separate"/>
          </w:r>
          <w:r>
            <w:rPr>
              <w:rFonts w:hint="eastAsia" w:ascii="黑体" w:hAnsi="黑体" w:eastAsia="黑体"/>
              <w:szCs w:val="28"/>
            </w:rPr>
            <w:t>（二）</w:t>
          </w:r>
          <w:r>
            <w:rPr>
              <w:rFonts w:hint="eastAsia" w:ascii="黑体" w:hAnsi="黑体" w:eastAsia="黑体"/>
              <w:szCs w:val="28"/>
              <w:lang w:eastAsia="zh-CN"/>
            </w:rPr>
            <w:t>本科</w:t>
          </w:r>
          <w:r>
            <w:rPr>
              <w:rFonts w:hint="eastAsia" w:ascii="黑体" w:hAnsi="黑体" w:eastAsia="黑体"/>
              <w:szCs w:val="28"/>
            </w:rPr>
            <w:t>专业设置情况</w:t>
          </w:r>
          <w:r>
            <w:tab/>
          </w:r>
          <w:r>
            <w:fldChar w:fldCharType="begin"/>
          </w:r>
          <w:r>
            <w:instrText xml:space="preserve"> PAGEREF _Toc13638 </w:instrText>
          </w:r>
          <w:r>
            <w:fldChar w:fldCharType="separate"/>
          </w:r>
          <w:r>
            <w:t>1</w:t>
          </w:r>
          <w:r>
            <w:fldChar w:fldCharType="end"/>
          </w:r>
          <w:r>
            <w:fldChar w:fldCharType="end"/>
          </w:r>
        </w:p>
        <w:p>
          <w:pPr>
            <w:pStyle w:val="11"/>
            <w:tabs>
              <w:tab w:val="right" w:leader="dot" w:pos="9650"/>
            </w:tabs>
          </w:pPr>
          <w:r>
            <w:fldChar w:fldCharType="begin"/>
          </w:r>
          <w:r>
            <w:instrText xml:space="preserve"> HYPERLINK \l _Toc13973 </w:instrText>
          </w:r>
          <w:r>
            <w:fldChar w:fldCharType="separate"/>
          </w:r>
          <w:r>
            <w:rPr>
              <w:rFonts w:hint="eastAsia" w:ascii="黑体" w:hAnsi="黑体" w:eastAsia="黑体"/>
              <w:szCs w:val="28"/>
            </w:rPr>
            <w:t>（三）在校生</w:t>
          </w:r>
          <w:r>
            <w:rPr>
              <w:rFonts w:hint="eastAsia" w:ascii="黑体" w:hAnsi="黑体" w:eastAsia="黑体"/>
              <w:szCs w:val="28"/>
              <w:lang w:eastAsia="zh-CN"/>
            </w:rPr>
            <w:t>情况</w:t>
          </w:r>
          <w:r>
            <w:tab/>
          </w:r>
          <w:r>
            <w:fldChar w:fldCharType="begin"/>
          </w:r>
          <w:r>
            <w:instrText xml:space="preserve"> PAGEREF _Toc13973 </w:instrText>
          </w:r>
          <w:r>
            <w:fldChar w:fldCharType="separate"/>
          </w:r>
          <w:r>
            <w:t>1</w:t>
          </w:r>
          <w:r>
            <w:fldChar w:fldCharType="end"/>
          </w:r>
          <w:r>
            <w:fldChar w:fldCharType="end"/>
          </w:r>
        </w:p>
        <w:p>
          <w:pPr>
            <w:pStyle w:val="11"/>
            <w:tabs>
              <w:tab w:val="right" w:leader="dot" w:pos="9650"/>
            </w:tabs>
          </w:pPr>
          <w:r>
            <w:fldChar w:fldCharType="begin"/>
          </w:r>
          <w:r>
            <w:instrText xml:space="preserve"> HYPERLINK \l _Toc24785 </w:instrText>
          </w:r>
          <w:r>
            <w:fldChar w:fldCharType="separate"/>
          </w:r>
          <w:r>
            <w:rPr>
              <w:rFonts w:hint="eastAsia" w:ascii="黑体" w:hAnsi="黑体" w:eastAsia="黑体"/>
              <w:szCs w:val="28"/>
            </w:rPr>
            <w:t>（四）本科生生源质量</w:t>
          </w:r>
          <w:r>
            <w:tab/>
          </w:r>
          <w:r>
            <w:fldChar w:fldCharType="begin"/>
          </w:r>
          <w:r>
            <w:instrText xml:space="preserve"> PAGEREF _Toc24785 </w:instrText>
          </w:r>
          <w:r>
            <w:fldChar w:fldCharType="separate"/>
          </w:r>
          <w:r>
            <w:t>1</w:t>
          </w:r>
          <w:r>
            <w:fldChar w:fldCharType="end"/>
          </w:r>
          <w:r>
            <w:fldChar w:fldCharType="end"/>
          </w:r>
        </w:p>
        <w:p>
          <w:pPr>
            <w:pStyle w:val="10"/>
            <w:tabs>
              <w:tab w:val="right" w:leader="dot" w:pos="9650"/>
            </w:tabs>
          </w:pPr>
          <w:r>
            <w:fldChar w:fldCharType="begin"/>
          </w:r>
          <w:r>
            <w:instrText xml:space="preserve"> HYPERLINK \l _Toc7891 </w:instrText>
          </w:r>
          <w:r>
            <w:fldChar w:fldCharType="separate"/>
          </w:r>
          <w:r>
            <w:rPr>
              <w:rFonts w:hint="eastAsia" w:ascii="黑体" w:hAnsi="黑体" w:eastAsia="黑体"/>
              <w:szCs w:val="28"/>
            </w:rPr>
            <w:t>二、师资与教学条件</w:t>
          </w:r>
          <w:r>
            <w:tab/>
          </w:r>
          <w:r>
            <w:fldChar w:fldCharType="begin"/>
          </w:r>
          <w:r>
            <w:instrText xml:space="preserve"> PAGEREF _Toc7891 </w:instrText>
          </w:r>
          <w:r>
            <w:fldChar w:fldCharType="separate"/>
          </w:r>
          <w:r>
            <w:t>3</w:t>
          </w:r>
          <w:r>
            <w:fldChar w:fldCharType="end"/>
          </w:r>
          <w:r>
            <w:fldChar w:fldCharType="end"/>
          </w:r>
        </w:p>
        <w:p>
          <w:pPr>
            <w:pStyle w:val="11"/>
            <w:tabs>
              <w:tab w:val="right" w:leader="dot" w:pos="9650"/>
            </w:tabs>
          </w:pPr>
          <w:r>
            <w:fldChar w:fldCharType="begin"/>
          </w:r>
          <w:r>
            <w:instrText xml:space="preserve"> HYPERLINK \l _Toc6422 </w:instrText>
          </w:r>
          <w:r>
            <w:fldChar w:fldCharType="separate"/>
          </w:r>
          <w:r>
            <w:rPr>
              <w:rFonts w:hint="eastAsia" w:ascii="黑体" w:hAnsi="黑体" w:eastAsia="黑体"/>
              <w:szCs w:val="28"/>
            </w:rPr>
            <w:t>（一）师资队伍</w:t>
          </w:r>
          <w:r>
            <w:rPr>
              <w:rFonts w:hint="eastAsia" w:ascii="黑体" w:hAnsi="黑体" w:eastAsia="黑体"/>
              <w:szCs w:val="28"/>
              <w:lang w:eastAsia="zh-CN"/>
            </w:rPr>
            <w:t>数量及结构</w:t>
          </w:r>
          <w:r>
            <w:tab/>
          </w:r>
          <w:r>
            <w:fldChar w:fldCharType="begin"/>
          </w:r>
          <w:r>
            <w:instrText xml:space="preserve"> PAGEREF _Toc6422 </w:instrText>
          </w:r>
          <w:r>
            <w:fldChar w:fldCharType="separate"/>
          </w:r>
          <w:r>
            <w:t>3</w:t>
          </w:r>
          <w:r>
            <w:fldChar w:fldCharType="end"/>
          </w:r>
          <w:r>
            <w:fldChar w:fldCharType="end"/>
          </w:r>
        </w:p>
        <w:p>
          <w:pPr>
            <w:pStyle w:val="11"/>
            <w:tabs>
              <w:tab w:val="right" w:leader="dot" w:pos="9650"/>
            </w:tabs>
          </w:pPr>
          <w:r>
            <w:fldChar w:fldCharType="begin"/>
          </w:r>
          <w:r>
            <w:instrText xml:space="preserve"> HYPERLINK \l _Toc3620 </w:instrText>
          </w:r>
          <w:r>
            <w:fldChar w:fldCharType="separate"/>
          </w:r>
          <w:r>
            <w:rPr>
              <w:rFonts w:hint="eastAsia" w:ascii="黑体" w:hAnsi="黑体" w:eastAsia="黑体"/>
              <w:szCs w:val="28"/>
              <w:lang w:eastAsia="zh-CN"/>
            </w:rPr>
            <w:t>（二） 本科主讲教师情况</w:t>
          </w:r>
          <w:r>
            <w:tab/>
          </w:r>
          <w:r>
            <w:fldChar w:fldCharType="begin"/>
          </w:r>
          <w:r>
            <w:instrText xml:space="preserve"> PAGEREF _Toc3620 </w:instrText>
          </w:r>
          <w:r>
            <w:fldChar w:fldCharType="separate"/>
          </w:r>
          <w:r>
            <w:t>3</w:t>
          </w:r>
          <w:r>
            <w:fldChar w:fldCharType="end"/>
          </w:r>
          <w:r>
            <w:fldChar w:fldCharType="end"/>
          </w:r>
        </w:p>
        <w:p>
          <w:pPr>
            <w:pStyle w:val="11"/>
            <w:tabs>
              <w:tab w:val="right" w:leader="dot" w:pos="9650"/>
            </w:tabs>
          </w:pPr>
          <w:r>
            <w:fldChar w:fldCharType="begin"/>
          </w:r>
          <w:r>
            <w:instrText xml:space="preserve"> HYPERLINK \l _Toc16744 </w:instrText>
          </w:r>
          <w:r>
            <w:fldChar w:fldCharType="separate"/>
          </w:r>
          <w:r>
            <w:rPr>
              <w:rFonts w:hint="eastAsia" w:ascii="黑体" w:hAnsi="黑体" w:eastAsia="黑体"/>
              <w:szCs w:val="28"/>
              <w:lang w:eastAsia="zh-CN"/>
            </w:rPr>
            <w:t>（三）</w:t>
          </w:r>
          <w:r>
            <w:rPr>
              <w:rFonts w:hint="eastAsia" w:ascii="黑体" w:hAnsi="黑体" w:eastAsia="黑体"/>
              <w:szCs w:val="28"/>
            </w:rPr>
            <w:t>教学经费投入情况</w:t>
          </w:r>
          <w:r>
            <w:tab/>
          </w:r>
          <w:r>
            <w:fldChar w:fldCharType="begin"/>
          </w:r>
          <w:r>
            <w:instrText xml:space="preserve"> PAGEREF _Toc16744 </w:instrText>
          </w:r>
          <w:r>
            <w:fldChar w:fldCharType="separate"/>
          </w:r>
          <w:r>
            <w:t>4</w:t>
          </w:r>
          <w:r>
            <w:fldChar w:fldCharType="end"/>
          </w:r>
          <w:r>
            <w:fldChar w:fldCharType="end"/>
          </w:r>
        </w:p>
        <w:p>
          <w:pPr>
            <w:pStyle w:val="11"/>
            <w:tabs>
              <w:tab w:val="right" w:leader="dot" w:pos="9650"/>
            </w:tabs>
          </w:pPr>
          <w:r>
            <w:fldChar w:fldCharType="begin"/>
          </w:r>
          <w:r>
            <w:instrText xml:space="preserve"> HYPERLINK \l _Toc30344 </w:instrText>
          </w:r>
          <w:r>
            <w:fldChar w:fldCharType="separate"/>
          </w:r>
          <w:r>
            <w:rPr>
              <w:rFonts w:hint="eastAsia" w:ascii="黑体" w:hAnsi="黑体" w:eastAsia="黑体"/>
              <w:szCs w:val="28"/>
            </w:rPr>
            <w:t>（</w:t>
          </w:r>
          <w:r>
            <w:rPr>
              <w:rFonts w:hint="eastAsia" w:ascii="黑体" w:hAnsi="黑体" w:eastAsia="黑体"/>
              <w:szCs w:val="28"/>
              <w:lang w:eastAsia="zh-CN"/>
            </w:rPr>
            <w:t>四</w:t>
          </w:r>
          <w:r>
            <w:rPr>
              <w:rFonts w:hint="eastAsia" w:ascii="黑体" w:hAnsi="黑体" w:eastAsia="黑体"/>
              <w:szCs w:val="28"/>
            </w:rPr>
            <w:t>）教学设施</w:t>
          </w:r>
          <w:r>
            <w:rPr>
              <w:rFonts w:hint="eastAsia" w:ascii="黑体" w:hAnsi="黑体" w:eastAsia="黑体"/>
              <w:szCs w:val="28"/>
              <w:lang w:eastAsia="zh-CN"/>
            </w:rPr>
            <w:t>及使用</w:t>
          </w:r>
          <w:r>
            <w:rPr>
              <w:rFonts w:hint="eastAsia" w:ascii="黑体" w:hAnsi="黑体" w:eastAsia="黑体"/>
              <w:szCs w:val="28"/>
            </w:rPr>
            <w:t>情况</w:t>
          </w:r>
          <w:r>
            <w:tab/>
          </w:r>
          <w:r>
            <w:fldChar w:fldCharType="begin"/>
          </w:r>
          <w:r>
            <w:instrText xml:space="preserve"> PAGEREF _Toc30344 </w:instrText>
          </w:r>
          <w:r>
            <w:fldChar w:fldCharType="separate"/>
          </w:r>
          <w:r>
            <w:t>4</w:t>
          </w:r>
          <w:r>
            <w:fldChar w:fldCharType="end"/>
          </w:r>
          <w:r>
            <w:fldChar w:fldCharType="end"/>
          </w:r>
        </w:p>
        <w:p>
          <w:pPr>
            <w:pStyle w:val="6"/>
            <w:tabs>
              <w:tab w:val="right" w:leader="dot" w:pos="9650"/>
            </w:tabs>
          </w:pPr>
          <w:r>
            <w:fldChar w:fldCharType="begin"/>
          </w:r>
          <w:r>
            <w:instrText xml:space="preserve"> HYPERLINK \l _Toc6098 </w:instrText>
          </w:r>
          <w:r>
            <w:fldChar w:fldCharType="separate"/>
          </w:r>
          <w:r>
            <w:rPr>
              <w:rFonts w:hint="eastAsia" w:ascii="黑体" w:hAnsi="黑体" w:eastAsia="黑体"/>
              <w:szCs w:val="28"/>
            </w:rPr>
            <w:t>1.教学</w:t>
          </w:r>
          <w:r>
            <w:rPr>
              <w:rFonts w:hint="eastAsia" w:ascii="黑体" w:hAnsi="黑体" w:eastAsia="黑体"/>
              <w:szCs w:val="28"/>
              <w:lang w:eastAsia="zh-CN"/>
            </w:rPr>
            <w:t>科研及辅助</w:t>
          </w:r>
          <w:r>
            <w:rPr>
              <w:rFonts w:hint="eastAsia" w:ascii="黑体" w:hAnsi="黑体" w:eastAsia="黑体"/>
              <w:szCs w:val="28"/>
            </w:rPr>
            <w:t>用房</w:t>
          </w:r>
          <w:r>
            <w:tab/>
          </w:r>
          <w:r>
            <w:fldChar w:fldCharType="begin"/>
          </w:r>
          <w:r>
            <w:instrText xml:space="preserve"> PAGEREF _Toc6098 </w:instrText>
          </w:r>
          <w:r>
            <w:fldChar w:fldCharType="separate"/>
          </w:r>
          <w:r>
            <w:t>4</w:t>
          </w:r>
          <w:r>
            <w:fldChar w:fldCharType="end"/>
          </w:r>
          <w:r>
            <w:fldChar w:fldCharType="end"/>
          </w:r>
        </w:p>
        <w:p>
          <w:pPr>
            <w:pStyle w:val="6"/>
            <w:tabs>
              <w:tab w:val="right" w:leader="dot" w:pos="9650"/>
            </w:tabs>
          </w:pPr>
          <w:r>
            <w:fldChar w:fldCharType="begin"/>
          </w:r>
          <w:r>
            <w:instrText xml:space="preserve"> HYPERLINK \l _Toc10660 </w:instrText>
          </w:r>
          <w:r>
            <w:fldChar w:fldCharType="separate"/>
          </w:r>
          <w:r>
            <w:rPr>
              <w:rFonts w:hint="eastAsia" w:ascii="黑体" w:hAnsi="黑体" w:eastAsia="黑体"/>
              <w:szCs w:val="28"/>
            </w:rPr>
            <w:t>2.教学科研仪器设备</w:t>
          </w:r>
          <w:r>
            <w:tab/>
          </w:r>
          <w:r>
            <w:fldChar w:fldCharType="begin"/>
          </w:r>
          <w:r>
            <w:instrText xml:space="preserve"> PAGEREF _Toc10660 </w:instrText>
          </w:r>
          <w:r>
            <w:fldChar w:fldCharType="separate"/>
          </w:r>
          <w:r>
            <w:t>5</w:t>
          </w:r>
          <w:r>
            <w:fldChar w:fldCharType="end"/>
          </w:r>
          <w:r>
            <w:fldChar w:fldCharType="end"/>
          </w:r>
        </w:p>
        <w:p>
          <w:pPr>
            <w:pStyle w:val="6"/>
            <w:tabs>
              <w:tab w:val="right" w:leader="dot" w:pos="9650"/>
            </w:tabs>
          </w:pPr>
          <w:r>
            <w:fldChar w:fldCharType="begin"/>
          </w:r>
          <w:r>
            <w:instrText xml:space="preserve"> HYPERLINK \l _Toc11273 </w:instrText>
          </w:r>
          <w:r>
            <w:fldChar w:fldCharType="separate"/>
          </w:r>
          <w:r>
            <w:rPr>
              <w:rFonts w:hint="eastAsia" w:ascii="黑体" w:hAnsi="黑体" w:eastAsia="黑体"/>
              <w:szCs w:val="28"/>
            </w:rPr>
            <w:t>3.图书馆及图书资源</w:t>
          </w:r>
          <w:r>
            <w:tab/>
          </w:r>
          <w:r>
            <w:fldChar w:fldCharType="begin"/>
          </w:r>
          <w:r>
            <w:instrText xml:space="preserve"> PAGEREF _Toc11273 </w:instrText>
          </w:r>
          <w:r>
            <w:fldChar w:fldCharType="separate"/>
          </w:r>
          <w:r>
            <w:t>5</w:t>
          </w:r>
          <w:r>
            <w:fldChar w:fldCharType="end"/>
          </w:r>
          <w:r>
            <w:fldChar w:fldCharType="end"/>
          </w:r>
        </w:p>
        <w:p>
          <w:pPr>
            <w:pStyle w:val="6"/>
            <w:tabs>
              <w:tab w:val="right" w:leader="dot" w:pos="9650"/>
            </w:tabs>
          </w:pPr>
          <w:r>
            <w:fldChar w:fldCharType="begin"/>
          </w:r>
          <w:r>
            <w:instrText xml:space="preserve"> HYPERLINK \l _Toc29304 </w:instrText>
          </w:r>
          <w:r>
            <w:fldChar w:fldCharType="separate"/>
          </w:r>
          <w:r>
            <w:rPr>
              <w:rFonts w:hint="eastAsia" w:ascii="黑体" w:hAnsi="黑体" w:eastAsia="黑体"/>
              <w:szCs w:val="28"/>
            </w:rPr>
            <w:t>4.信息资源</w:t>
          </w:r>
          <w:r>
            <w:tab/>
          </w:r>
          <w:r>
            <w:fldChar w:fldCharType="begin"/>
          </w:r>
          <w:r>
            <w:instrText xml:space="preserve"> PAGEREF _Toc29304 </w:instrText>
          </w:r>
          <w:r>
            <w:fldChar w:fldCharType="separate"/>
          </w:r>
          <w:r>
            <w:t>5</w:t>
          </w:r>
          <w:r>
            <w:fldChar w:fldCharType="end"/>
          </w:r>
          <w:r>
            <w:fldChar w:fldCharType="end"/>
          </w:r>
        </w:p>
        <w:p>
          <w:pPr>
            <w:pStyle w:val="10"/>
            <w:tabs>
              <w:tab w:val="right" w:leader="dot" w:pos="9650"/>
            </w:tabs>
          </w:pPr>
          <w:r>
            <w:fldChar w:fldCharType="begin"/>
          </w:r>
          <w:r>
            <w:instrText xml:space="preserve"> HYPERLINK \l _Toc5826 </w:instrText>
          </w:r>
          <w:r>
            <w:fldChar w:fldCharType="separate"/>
          </w:r>
          <w:r>
            <w:rPr>
              <w:rFonts w:hint="eastAsia" w:ascii="黑体" w:hAnsi="黑体" w:eastAsia="黑体"/>
              <w:szCs w:val="28"/>
            </w:rPr>
            <w:t>三、教学建设与改革</w:t>
          </w:r>
          <w:r>
            <w:tab/>
          </w:r>
          <w:r>
            <w:fldChar w:fldCharType="begin"/>
          </w:r>
          <w:r>
            <w:instrText xml:space="preserve"> PAGEREF _Toc5826 </w:instrText>
          </w:r>
          <w:r>
            <w:fldChar w:fldCharType="separate"/>
          </w:r>
          <w:r>
            <w:t>6</w:t>
          </w:r>
          <w:r>
            <w:fldChar w:fldCharType="end"/>
          </w:r>
          <w:r>
            <w:fldChar w:fldCharType="end"/>
          </w:r>
        </w:p>
        <w:p>
          <w:pPr>
            <w:pStyle w:val="11"/>
            <w:tabs>
              <w:tab w:val="right" w:leader="dot" w:pos="9650"/>
            </w:tabs>
          </w:pPr>
          <w:r>
            <w:fldChar w:fldCharType="begin"/>
          </w:r>
          <w:r>
            <w:instrText xml:space="preserve"> HYPERLINK \l _Toc25037 </w:instrText>
          </w:r>
          <w:r>
            <w:fldChar w:fldCharType="separate"/>
          </w:r>
          <w:r>
            <w:rPr>
              <w:rFonts w:hint="eastAsia" w:ascii="黑体" w:hAnsi="黑体" w:eastAsia="黑体"/>
              <w:szCs w:val="28"/>
            </w:rPr>
            <w:t>（一）专业建设</w:t>
          </w:r>
          <w:r>
            <w:tab/>
          </w:r>
          <w:r>
            <w:fldChar w:fldCharType="begin"/>
          </w:r>
          <w:r>
            <w:instrText xml:space="preserve"> PAGEREF _Toc25037 </w:instrText>
          </w:r>
          <w:r>
            <w:fldChar w:fldCharType="separate"/>
          </w:r>
          <w:r>
            <w:t>6</w:t>
          </w:r>
          <w:r>
            <w:fldChar w:fldCharType="end"/>
          </w:r>
          <w:r>
            <w:fldChar w:fldCharType="end"/>
          </w:r>
        </w:p>
        <w:p>
          <w:pPr>
            <w:pStyle w:val="11"/>
            <w:tabs>
              <w:tab w:val="right" w:leader="dot" w:pos="9650"/>
            </w:tabs>
          </w:pPr>
          <w:r>
            <w:fldChar w:fldCharType="begin"/>
          </w:r>
          <w:r>
            <w:instrText xml:space="preserve"> HYPERLINK \l _Toc15589 </w:instrText>
          </w:r>
          <w:r>
            <w:fldChar w:fldCharType="separate"/>
          </w:r>
          <w:r>
            <w:rPr>
              <w:rFonts w:hint="eastAsia" w:ascii="黑体" w:hAnsi="黑体" w:eastAsia="黑体"/>
              <w:szCs w:val="28"/>
            </w:rPr>
            <w:t>（二）课程建设</w:t>
          </w:r>
          <w:r>
            <w:tab/>
          </w:r>
          <w:r>
            <w:fldChar w:fldCharType="begin"/>
          </w:r>
          <w:r>
            <w:instrText xml:space="preserve"> PAGEREF _Toc15589 </w:instrText>
          </w:r>
          <w:r>
            <w:fldChar w:fldCharType="separate"/>
          </w:r>
          <w:r>
            <w:t>6</w:t>
          </w:r>
          <w:r>
            <w:fldChar w:fldCharType="end"/>
          </w:r>
          <w:r>
            <w:fldChar w:fldCharType="end"/>
          </w:r>
        </w:p>
        <w:p>
          <w:pPr>
            <w:pStyle w:val="11"/>
            <w:tabs>
              <w:tab w:val="right" w:leader="dot" w:pos="9650"/>
            </w:tabs>
          </w:pPr>
          <w:r>
            <w:fldChar w:fldCharType="begin"/>
          </w:r>
          <w:r>
            <w:instrText xml:space="preserve"> HYPERLINK \l _Toc2853 </w:instrText>
          </w:r>
          <w:r>
            <w:fldChar w:fldCharType="separate"/>
          </w:r>
          <w:r>
            <w:rPr>
              <w:rFonts w:hint="eastAsia" w:ascii="黑体" w:hAnsi="黑体" w:eastAsia="黑体"/>
              <w:szCs w:val="28"/>
            </w:rPr>
            <w:t>（三）教材建设</w:t>
          </w:r>
          <w:r>
            <w:tab/>
          </w:r>
          <w:r>
            <w:fldChar w:fldCharType="begin"/>
          </w:r>
          <w:r>
            <w:instrText xml:space="preserve"> PAGEREF _Toc2853 </w:instrText>
          </w:r>
          <w:r>
            <w:fldChar w:fldCharType="separate"/>
          </w:r>
          <w:r>
            <w:t>6</w:t>
          </w:r>
          <w:r>
            <w:fldChar w:fldCharType="end"/>
          </w:r>
          <w:r>
            <w:fldChar w:fldCharType="end"/>
          </w:r>
        </w:p>
        <w:p>
          <w:pPr>
            <w:pStyle w:val="11"/>
            <w:tabs>
              <w:tab w:val="right" w:leader="dot" w:pos="9650"/>
            </w:tabs>
          </w:pPr>
          <w:r>
            <w:fldChar w:fldCharType="begin"/>
          </w:r>
          <w:r>
            <w:instrText xml:space="preserve"> HYPERLINK \l _Toc1335 </w:instrText>
          </w:r>
          <w:r>
            <w:fldChar w:fldCharType="separate"/>
          </w:r>
          <w:r>
            <w:rPr>
              <w:rFonts w:hint="eastAsia" w:ascii="黑体" w:hAnsi="黑体" w:eastAsia="黑体"/>
              <w:szCs w:val="28"/>
            </w:rPr>
            <w:t>（四）实践教学</w:t>
          </w:r>
          <w:r>
            <w:tab/>
          </w:r>
          <w:r>
            <w:fldChar w:fldCharType="begin"/>
          </w:r>
          <w:r>
            <w:instrText xml:space="preserve"> PAGEREF _Toc1335 </w:instrText>
          </w:r>
          <w:r>
            <w:fldChar w:fldCharType="separate"/>
          </w:r>
          <w:r>
            <w:t>7</w:t>
          </w:r>
          <w:r>
            <w:fldChar w:fldCharType="end"/>
          </w:r>
          <w:r>
            <w:fldChar w:fldCharType="end"/>
          </w:r>
        </w:p>
        <w:p>
          <w:pPr>
            <w:pStyle w:val="6"/>
            <w:tabs>
              <w:tab w:val="right" w:leader="dot" w:pos="9650"/>
            </w:tabs>
          </w:pPr>
          <w:r>
            <w:fldChar w:fldCharType="begin"/>
          </w:r>
          <w:r>
            <w:instrText xml:space="preserve"> HYPERLINK \l _Toc7740 </w:instrText>
          </w:r>
          <w:r>
            <w:fldChar w:fldCharType="separate"/>
          </w:r>
          <w:r>
            <w:rPr>
              <w:rFonts w:hint="eastAsia" w:ascii="黑体" w:hAnsi="黑体" w:eastAsia="黑体"/>
              <w:szCs w:val="24"/>
            </w:rPr>
            <w:t>1.</w:t>
          </w:r>
          <w:r>
            <w:rPr>
              <w:rFonts w:hint="eastAsia" w:ascii="黑体" w:hAnsi="黑体" w:eastAsia="黑体"/>
              <w:szCs w:val="24"/>
              <w:lang w:eastAsia="zh-CN"/>
            </w:rPr>
            <w:t>科学构建实践教学体系</w:t>
          </w:r>
          <w:r>
            <w:tab/>
          </w:r>
          <w:r>
            <w:fldChar w:fldCharType="begin"/>
          </w:r>
          <w:r>
            <w:instrText xml:space="preserve"> PAGEREF _Toc7740 </w:instrText>
          </w:r>
          <w:r>
            <w:fldChar w:fldCharType="separate"/>
          </w:r>
          <w:r>
            <w:t>7</w:t>
          </w:r>
          <w:r>
            <w:fldChar w:fldCharType="end"/>
          </w:r>
          <w:r>
            <w:fldChar w:fldCharType="end"/>
          </w:r>
        </w:p>
        <w:p>
          <w:pPr>
            <w:pStyle w:val="6"/>
            <w:tabs>
              <w:tab w:val="right" w:leader="dot" w:pos="9650"/>
            </w:tabs>
          </w:pPr>
          <w:r>
            <w:fldChar w:fldCharType="begin"/>
          </w:r>
          <w:r>
            <w:instrText xml:space="preserve"> HYPERLINK \l _Toc23662 </w:instrText>
          </w:r>
          <w:r>
            <w:fldChar w:fldCharType="separate"/>
          </w:r>
          <w:r>
            <w:rPr>
              <w:rFonts w:hint="eastAsia" w:ascii="黑体" w:hAnsi="黑体" w:eastAsia="黑体"/>
              <w:szCs w:val="24"/>
              <w:lang w:val="en-US" w:eastAsia="zh-CN"/>
            </w:rPr>
            <w:t>2.持续</w:t>
          </w:r>
          <w:r>
            <w:rPr>
              <w:rFonts w:hint="eastAsia" w:ascii="黑体" w:hAnsi="黑体" w:eastAsia="黑体"/>
              <w:szCs w:val="24"/>
            </w:rPr>
            <w:t>规范实验教学管理</w:t>
          </w:r>
          <w:r>
            <w:tab/>
          </w:r>
          <w:r>
            <w:fldChar w:fldCharType="begin"/>
          </w:r>
          <w:r>
            <w:instrText xml:space="preserve"> PAGEREF _Toc23662 </w:instrText>
          </w:r>
          <w:r>
            <w:fldChar w:fldCharType="separate"/>
          </w:r>
          <w:r>
            <w:t>7</w:t>
          </w:r>
          <w:r>
            <w:fldChar w:fldCharType="end"/>
          </w:r>
          <w:r>
            <w:fldChar w:fldCharType="end"/>
          </w:r>
        </w:p>
        <w:p>
          <w:pPr>
            <w:pStyle w:val="6"/>
            <w:tabs>
              <w:tab w:val="right" w:leader="dot" w:pos="9650"/>
            </w:tabs>
          </w:pPr>
          <w:r>
            <w:fldChar w:fldCharType="begin"/>
          </w:r>
          <w:r>
            <w:instrText xml:space="preserve"> HYPERLINK \l _Toc26954 </w:instrText>
          </w:r>
          <w:r>
            <w:fldChar w:fldCharType="separate"/>
          </w:r>
          <w:r>
            <w:rPr>
              <w:rFonts w:hint="eastAsia" w:ascii="宋体" w:hAnsi="宋体" w:eastAsia="宋体"/>
              <w:szCs w:val="21"/>
              <w:lang w:val="en-US" w:eastAsia="zh-CN"/>
            </w:rPr>
            <w:t>3</w:t>
          </w:r>
          <w:r>
            <w:rPr>
              <w:rFonts w:hint="eastAsia" w:ascii="黑体" w:hAnsi="黑体" w:eastAsia="黑体"/>
              <w:szCs w:val="24"/>
            </w:rPr>
            <w:t>.</w:t>
          </w:r>
          <w:r>
            <w:rPr>
              <w:rFonts w:hint="eastAsia" w:ascii="黑体" w:hAnsi="黑体" w:eastAsia="黑体"/>
              <w:szCs w:val="24"/>
              <w:lang w:eastAsia="zh-CN"/>
            </w:rPr>
            <w:t>加强</w:t>
          </w:r>
          <w:r>
            <w:rPr>
              <w:rFonts w:hint="eastAsia" w:ascii="黑体" w:hAnsi="黑体" w:eastAsia="黑体"/>
              <w:szCs w:val="24"/>
            </w:rPr>
            <w:t>实习与教学实践基地</w:t>
          </w:r>
          <w:r>
            <w:rPr>
              <w:rFonts w:hint="eastAsia" w:ascii="黑体" w:hAnsi="黑体" w:eastAsia="黑体"/>
              <w:szCs w:val="24"/>
              <w:lang w:eastAsia="zh-CN"/>
            </w:rPr>
            <w:t>建设</w:t>
          </w:r>
          <w:r>
            <w:tab/>
          </w:r>
          <w:r>
            <w:fldChar w:fldCharType="begin"/>
          </w:r>
          <w:r>
            <w:instrText xml:space="preserve"> PAGEREF _Toc26954 </w:instrText>
          </w:r>
          <w:r>
            <w:fldChar w:fldCharType="separate"/>
          </w:r>
          <w:r>
            <w:t>8</w:t>
          </w:r>
          <w:r>
            <w:fldChar w:fldCharType="end"/>
          </w:r>
          <w:r>
            <w:fldChar w:fldCharType="end"/>
          </w:r>
        </w:p>
        <w:p>
          <w:pPr>
            <w:pStyle w:val="11"/>
            <w:tabs>
              <w:tab w:val="right" w:leader="dot" w:pos="9650"/>
            </w:tabs>
          </w:pPr>
          <w:r>
            <w:fldChar w:fldCharType="begin"/>
          </w:r>
          <w:r>
            <w:instrText xml:space="preserve"> HYPERLINK \l _Toc717 </w:instrText>
          </w:r>
          <w:r>
            <w:fldChar w:fldCharType="separate"/>
          </w:r>
          <w:r>
            <w:rPr>
              <w:rFonts w:hint="eastAsia" w:ascii="黑体" w:hAnsi="黑体" w:eastAsia="黑体"/>
              <w:szCs w:val="28"/>
            </w:rPr>
            <w:t>（</w:t>
          </w:r>
          <w:r>
            <w:rPr>
              <w:rFonts w:hint="eastAsia" w:ascii="黑体" w:hAnsi="黑体" w:eastAsia="黑体"/>
              <w:szCs w:val="28"/>
              <w:lang w:eastAsia="zh-CN"/>
            </w:rPr>
            <w:t>五</w:t>
          </w:r>
          <w:r>
            <w:rPr>
              <w:rFonts w:hint="eastAsia" w:ascii="黑体" w:hAnsi="黑体" w:eastAsia="黑体"/>
              <w:szCs w:val="28"/>
            </w:rPr>
            <w:t>）创新创业教育</w:t>
          </w:r>
          <w:r>
            <w:tab/>
          </w:r>
          <w:r>
            <w:fldChar w:fldCharType="begin"/>
          </w:r>
          <w:r>
            <w:instrText xml:space="preserve"> PAGEREF _Toc717 </w:instrText>
          </w:r>
          <w:r>
            <w:fldChar w:fldCharType="separate"/>
          </w:r>
          <w:r>
            <w:t>8</w:t>
          </w:r>
          <w:r>
            <w:fldChar w:fldCharType="end"/>
          </w:r>
          <w:r>
            <w:fldChar w:fldCharType="end"/>
          </w:r>
        </w:p>
        <w:p>
          <w:pPr>
            <w:pStyle w:val="11"/>
            <w:tabs>
              <w:tab w:val="right" w:leader="dot" w:pos="9650"/>
            </w:tabs>
          </w:pPr>
          <w:r>
            <w:fldChar w:fldCharType="begin"/>
          </w:r>
          <w:r>
            <w:instrText xml:space="preserve"> HYPERLINK \l _Toc29360 </w:instrText>
          </w:r>
          <w:r>
            <w:fldChar w:fldCharType="separate"/>
          </w:r>
          <w:r>
            <w:rPr>
              <w:rFonts w:hint="eastAsia" w:ascii="黑体" w:hAnsi="黑体" w:eastAsia="黑体"/>
              <w:szCs w:val="28"/>
              <w:lang w:val="en-US" w:eastAsia="zh-CN"/>
            </w:rPr>
            <w:t>（六）毕业论文（设计）</w:t>
          </w:r>
          <w:r>
            <w:tab/>
          </w:r>
          <w:r>
            <w:fldChar w:fldCharType="begin"/>
          </w:r>
          <w:r>
            <w:instrText xml:space="preserve"> PAGEREF _Toc29360 </w:instrText>
          </w:r>
          <w:r>
            <w:fldChar w:fldCharType="separate"/>
          </w:r>
          <w:r>
            <w:t>9</w:t>
          </w:r>
          <w:r>
            <w:fldChar w:fldCharType="end"/>
          </w:r>
          <w:r>
            <w:fldChar w:fldCharType="end"/>
          </w:r>
        </w:p>
        <w:p>
          <w:pPr>
            <w:pStyle w:val="11"/>
            <w:tabs>
              <w:tab w:val="right" w:leader="dot" w:pos="9650"/>
            </w:tabs>
          </w:pPr>
          <w:r>
            <w:fldChar w:fldCharType="begin"/>
          </w:r>
          <w:r>
            <w:instrText xml:space="preserve"> HYPERLINK \l _Toc14265 </w:instrText>
          </w:r>
          <w:r>
            <w:fldChar w:fldCharType="separate"/>
          </w:r>
          <w:r>
            <w:rPr>
              <w:rFonts w:hint="eastAsia" w:ascii="黑体" w:hAnsi="黑体" w:eastAsia="黑体"/>
              <w:szCs w:val="28"/>
            </w:rPr>
            <w:t>（</w:t>
          </w:r>
          <w:r>
            <w:rPr>
              <w:rFonts w:hint="eastAsia" w:ascii="黑体" w:hAnsi="黑体" w:eastAsia="黑体"/>
              <w:szCs w:val="28"/>
              <w:lang w:eastAsia="zh-CN"/>
            </w:rPr>
            <w:t>七</w:t>
          </w:r>
          <w:r>
            <w:rPr>
              <w:rFonts w:hint="eastAsia" w:ascii="黑体" w:hAnsi="黑体" w:eastAsia="黑体"/>
              <w:szCs w:val="28"/>
            </w:rPr>
            <w:t>）教学改革</w:t>
          </w:r>
          <w:r>
            <w:tab/>
          </w:r>
          <w:r>
            <w:fldChar w:fldCharType="begin"/>
          </w:r>
          <w:r>
            <w:instrText xml:space="preserve"> PAGEREF _Toc14265 </w:instrText>
          </w:r>
          <w:r>
            <w:fldChar w:fldCharType="separate"/>
          </w:r>
          <w:r>
            <w:t>9</w:t>
          </w:r>
          <w:r>
            <w:fldChar w:fldCharType="end"/>
          </w:r>
          <w:r>
            <w:fldChar w:fldCharType="end"/>
          </w:r>
        </w:p>
        <w:p>
          <w:pPr>
            <w:pStyle w:val="10"/>
            <w:tabs>
              <w:tab w:val="right" w:leader="dot" w:pos="9650"/>
            </w:tabs>
          </w:pPr>
          <w:r>
            <w:fldChar w:fldCharType="begin"/>
          </w:r>
          <w:r>
            <w:instrText xml:space="preserve"> HYPERLINK \l _Toc3252 </w:instrText>
          </w:r>
          <w:r>
            <w:fldChar w:fldCharType="separate"/>
          </w:r>
          <w:r>
            <w:rPr>
              <w:rFonts w:hint="eastAsia" w:ascii="黑体" w:hAnsi="黑体" w:eastAsia="黑体"/>
              <w:szCs w:val="28"/>
              <w:lang w:eastAsia="zh-CN"/>
            </w:rPr>
            <w:t>四、专业培养能力</w:t>
          </w:r>
          <w:r>
            <w:tab/>
          </w:r>
          <w:r>
            <w:fldChar w:fldCharType="begin"/>
          </w:r>
          <w:r>
            <w:instrText xml:space="preserve"> PAGEREF _Toc3252 </w:instrText>
          </w:r>
          <w:r>
            <w:fldChar w:fldCharType="separate"/>
          </w:r>
          <w:r>
            <w:t>10</w:t>
          </w:r>
          <w:r>
            <w:fldChar w:fldCharType="end"/>
          </w:r>
          <w:r>
            <w:fldChar w:fldCharType="end"/>
          </w:r>
        </w:p>
        <w:p>
          <w:pPr>
            <w:pStyle w:val="11"/>
            <w:tabs>
              <w:tab w:val="right" w:leader="dot" w:pos="9650"/>
            </w:tabs>
          </w:pPr>
          <w:r>
            <w:fldChar w:fldCharType="begin"/>
          </w:r>
          <w:r>
            <w:instrText xml:space="preserve"> HYPERLINK \l _Toc15084 </w:instrText>
          </w:r>
          <w:r>
            <w:fldChar w:fldCharType="separate"/>
          </w:r>
          <w:r>
            <w:rPr>
              <w:rFonts w:hint="eastAsia" w:ascii="宋体" w:hAnsi="宋体" w:eastAsia="黑体"/>
              <w:szCs w:val="28"/>
              <w:lang w:eastAsia="zh-CN"/>
            </w:rPr>
            <w:t>（一） 确立应用型专业人才培养目标定位</w:t>
          </w:r>
          <w:r>
            <w:tab/>
          </w:r>
          <w:r>
            <w:fldChar w:fldCharType="begin"/>
          </w:r>
          <w:r>
            <w:instrText xml:space="preserve"> PAGEREF _Toc15084 </w:instrText>
          </w:r>
          <w:r>
            <w:fldChar w:fldCharType="separate"/>
          </w:r>
          <w:r>
            <w:t>10</w:t>
          </w:r>
          <w:r>
            <w:fldChar w:fldCharType="end"/>
          </w:r>
          <w:r>
            <w:fldChar w:fldCharType="end"/>
          </w:r>
        </w:p>
        <w:p>
          <w:pPr>
            <w:pStyle w:val="11"/>
            <w:tabs>
              <w:tab w:val="right" w:leader="dot" w:pos="9650"/>
            </w:tabs>
          </w:pPr>
          <w:r>
            <w:fldChar w:fldCharType="begin"/>
          </w:r>
          <w:r>
            <w:instrText xml:space="preserve"> HYPERLINK \l _Toc6183 </w:instrText>
          </w:r>
          <w:r>
            <w:fldChar w:fldCharType="separate"/>
          </w:r>
          <w:r>
            <w:rPr>
              <w:rFonts w:hint="eastAsia" w:ascii="黑体" w:hAnsi="黑体" w:eastAsia="黑体"/>
              <w:szCs w:val="28"/>
              <w:lang w:eastAsia="zh-CN"/>
            </w:rPr>
            <w:t>（二） 优化专业培养环境</w:t>
          </w:r>
          <w:r>
            <w:tab/>
          </w:r>
          <w:r>
            <w:fldChar w:fldCharType="begin"/>
          </w:r>
          <w:r>
            <w:instrText xml:space="preserve"> PAGEREF _Toc6183 </w:instrText>
          </w:r>
          <w:r>
            <w:fldChar w:fldCharType="separate"/>
          </w:r>
          <w:r>
            <w:t>10</w:t>
          </w:r>
          <w:r>
            <w:fldChar w:fldCharType="end"/>
          </w:r>
          <w:r>
            <w:fldChar w:fldCharType="end"/>
          </w:r>
        </w:p>
        <w:p>
          <w:pPr>
            <w:pStyle w:val="11"/>
            <w:tabs>
              <w:tab w:val="right" w:leader="dot" w:pos="9650"/>
            </w:tabs>
          </w:pPr>
          <w:r>
            <w:fldChar w:fldCharType="begin"/>
          </w:r>
          <w:r>
            <w:instrText xml:space="preserve"> HYPERLINK \l _Toc21843 </w:instrText>
          </w:r>
          <w:r>
            <w:fldChar w:fldCharType="separate"/>
          </w:r>
          <w:r>
            <w:rPr>
              <w:rFonts w:hint="eastAsia" w:ascii="黑体" w:hAnsi="黑体" w:eastAsia="黑体"/>
              <w:szCs w:val="28"/>
              <w:lang w:eastAsia="zh-CN"/>
            </w:rPr>
            <w:t>（三）制定“以能力产出为导向”的应用型培养方案</w:t>
          </w:r>
          <w:r>
            <w:tab/>
          </w:r>
          <w:r>
            <w:fldChar w:fldCharType="begin"/>
          </w:r>
          <w:r>
            <w:instrText xml:space="preserve"> PAGEREF _Toc21843 </w:instrText>
          </w:r>
          <w:r>
            <w:fldChar w:fldCharType="separate"/>
          </w:r>
          <w:r>
            <w:t>11</w:t>
          </w:r>
          <w:r>
            <w:fldChar w:fldCharType="end"/>
          </w:r>
          <w:r>
            <w:fldChar w:fldCharType="end"/>
          </w:r>
        </w:p>
        <w:p>
          <w:pPr>
            <w:pStyle w:val="10"/>
            <w:tabs>
              <w:tab w:val="right" w:leader="dot" w:pos="9650"/>
            </w:tabs>
          </w:pPr>
          <w:r>
            <w:fldChar w:fldCharType="begin"/>
          </w:r>
          <w:r>
            <w:instrText xml:space="preserve"> HYPERLINK \l _Toc6549 </w:instrText>
          </w:r>
          <w:r>
            <w:fldChar w:fldCharType="separate"/>
          </w:r>
          <w:r>
            <w:rPr>
              <w:rFonts w:hint="eastAsia" w:ascii="黑体" w:hAnsi="黑体" w:eastAsia="黑体"/>
              <w:szCs w:val="28"/>
              <w:lang w:eastAsia="zh-CN"/>
            </w:rPr>
            <w:t>五、质量保障体系</w:t>
          </w:r>
          <w:r>
            <w:tab/>
          </w:r>
          <w:r>
            <w:fldChar w:fldCharType="begin"/>
          </w:r>
          <w:r>
            <w:instrText xml:space="preserve"> PAGEREF _Toc6549 </w:instrText>
          </w:r>
          <w:r>
            <w:fldChar w:fldCharType="separate"/>
          </w:r>
          <w:r>
            <w:t>12</w:t>
          </w:r>
          <w:r>
            <w:fldChar w:fldCharType="end"/>
          </w:r>
          <w:r>
            <w:fldChar w:fldCharType="end"/>
          </w:r>
        </w:p>
        <w:p>
          <w:pPr>
            <w:pStyle w:val="11"/>
            <w:tabs>
              <w:tab w:val="right" w:leader="dot" w:pos="9650"/>
            </w:tabs>
          </w:pPr>
          <w:r>
            <w:fldChar w:fldCharType="begin"/>
          </w:r>
          <w:r>
            <w:instrText xml:space="preserve"> HYPERLINK \l _Toc29740 </w:instrText>
          </w:r>
          <w:r>
            <w:fldChar w:fldCharType="separate"/>
          </w:r>
          <w:r>
            <w:rPr>
              <w:rFonts w:hint="eastAsia" w:ascii="黑体" w:hAnsi="黑体" w:eastAsia="黑体"/>
              <w:szCs w:val="28"/>
            </w:rPr>
            <w:t>（一）</w:t>
          </w:r>
          <w:r>
            <w:rPr>
              <w:rFonts w:hint="eastAsia" w:ascii="黑体" w:hAnsi="黑体" w:eastAsia="黑体"/>
              <w:szCs w:val="28"/>
              <w:lang w:eastAsia="zh-CN"/>
            </w:rPr>
            <w:t>落实人才培养中心地位</w:t>
          </w:r>
          <w:r>
            <w:tab/>
          </w:r>
          <w:r>
            <w:fldChar w:fldCharType="begin"/>
          </w:r>
          <w:r>
            <w:instrText xml:space="preserve"> PAGEREF _Toc29740 </w:instrText>
          </w:r>
          <w:r>
            <w:fldChar w:fldCharType="separate"/>
          </w:r>
          <w:r>
            <w:t>12</w:t>
          </w:r>
          <w:r>
            <w:fldChar w:fldCharType="end"/>
          </w:r>
          <w:r>
            <w:fldChar w:fldCharType="end"/>
          </w:r>
        </w:p>
        <w:p>
          <w:pPr>
            <w:pStyle w:val="11"/>
            <w:tabs>
              <w:tab w:val="right" w:leader="dot" w:pos="9650"/>
            </w:tabs>
          </w:pPr>
          <w:r>
            <w:fldChar w:fldCharType="begin"/>
          </w:r>
          <w:r>
            <w:instrText xml:space="preserve"> HYPERLINK \l _Toc24132 </w:instrText>
          </w:r>
          <w:r>
            <w:fldChar w:fldCharType="separate"/>
          </w:r>
          <w:r>
            <w:rPr>
              <w:rFonts w:hint="eastAsia" w:ascii="黑体" w:hAnsi="黑体" w:eastAsia="黑体"/>
              <w:szCs w:val="28"/>
            </w:rPr>
            <w:t>（二）</w:t>
          </w:r>
          <w:r>
            <w:rPr>
              <w:rFonts w:hint="eastAsia" w:ascii="黑体" w:hAnsi="黑体" w:eastAsia="黑体"/>
              <w:szCs w:val="28"/>
              <w:lang w:eastAsia="zh-CN"/>
            </w:rPr>
            <w:t>建立健全教学质量保障体系</w:t>
          </w:r>
          <w:r>
            <w:tab/>
          </w:r>
          <w:r>
            <w:fldChar w:fldCharType="begin"/>
          </w:r>
          <w:r>
            <w:instrText xml:space="preserve"> PAGEREF _Toc24132 </w:instrText>
          </w:r>
          <w:r>
            <w:fldChar w:fldCharType="separate"/>
          </w:r>
          <w:r>
            <w:t>12</w:t>
          </w:r>
          <w:r>
            <w:fldChar w:fldCharType="end"/>
          </w:r>
          <w:r>
            <w:fldChar w:fldCharType="end"/>
          </w:r>
        </w:p>
        <w:p>
          <w:pPr>
            <w:pStyle w:val="10"/>
            <w:tabs>
              <w:tab w:val="right" w:leader="dot" w:pos="9650"/>
            </w:tabs>
          </w:pPr>
          <w:r>
            <w:fldChar w:fldCharType="begin"/>
          </w:r>
          <w:r>
            <w:instrText xml:space="preserve"> HYPERLINK \l _Toc18876 </w:instrText>
          </w:r>
          <w:r>
            <w:fldChar w:fldCharType="separate"/>
          </w:r>
          <w:r>
            <w:rPr>
              <w:rFonts w:hint="eastAsia" w:ascii="黑体" w:hAnsi="黑体" w:eastAsia="黑体"/>
              <w:szCs w:val="30"/>
              <w:lang w:eastAsia="zh-CN"/>
            </w:rPr>
            <w:t>六</w:t>
          </w:r>
          <w:r>
            <w:rPr>
              <w:rFonts w:hint="eastAsia" w:ascii="黑体" w:hAnsi="黑体" w:eastAsia="黑体"/>
              <w:szCs w:val="30"/>
            </w:rPr>
            <w:t>、学生学习效果</w:t>
          </w:r>
          <w:r>
            <w:tab/>
          </w:r>
          <w:r>
            <w:fldChar w:fldCharType="begin"/>
          </w:r>
          <w:r>
            <w:instrText xml:space="preserve"> PAGEREF _Toc18876 </w:instrText>
          </w:r>
          <w:r>
            <w:fldChar w:fldCharType="separate"/>
          </w:r>
          <w:r>
            <w:t>15</w:t>
          </w:r>
          <w:r>
            <w:fldChar w:fldCharType="end"/>
          </w:r>
          <w:r>
            <w:fldChar w:fldCharType="end"/>
          </w:r>
        </w:p>
        <w:p>
          <w:pPr>
            <w:pStyle w:val="11"/>
            <w:tabs>
              <w:tab w:val="right" w:leader="dot" w:pos="9650"/>
            </w:tabs>
          </w:pPr>
          <w:r>
            <w:fldChar w:fldCharType="begin"/>
          </w:r>
          <w:r>
            <w:instrText xml:space="preserve"> HYPERLINK \l _Toc32157 </w:instrText>
          </w:r>
          <w:r>
            <w:fldChar w:fldCharType="separate"/>
          </w:r>
          <w:r>
            <w:rPr>
              <w:rFonts w:hint="eastAsia" w:ascii="黑体" w:hAnsi="黑体" w:eastAsia="黑体"/>
              <w:szCs w:val="28"/>
            </w:rPr>
            <w:t>（</w:t>
          </w:r>
          <w:r>
            <w:rPr>
              <w:rFonts w:hint="eastAsia" w:ascii="黑体" w:hAnsi="黑体" w:eastAsia="黑体"/>
              <w:szCs w:val="28"/>
              <w:lang w:eastAsia="zh-CN"/>
            </w:rPr>
            <w:t>三</w:t>
          </w:r>
          <w:r>
            <w:rPr>
              <w:rFonts w:hint="eastAsia" w:ascii="黑体" w:hAnsi="黑体" w:eastAsia="黑体"/>
              <w:szCs w:val="28"/>
            </w:rPr>
            <w:t>）就业情况</w:t>
          </w:r>
          <w:r>
            <w:rPr>
              <w:rFonts w:hint="eastAsia" w:ascii="黑体" w:hAnsi="黑体" w:eastAsia="黑体"/>
              <w:szCs w:val="28"/>
              <w:lang w:eastAsia="zh-CN"/>
            </w:rPr>
            <w:t>及用人单位评价</w:t>
          </w:r>
          <w:r>
            <w:tab/>
          </w:r>
          <w:r>
            <w:fldChar w:fldCharType="begin"/>
          </w:r>
          <w:r>
            <w:instrText xml:space="preserve"> PAGEREF _Toc32157 </w:instrText>
          </w:r>
          <w:r>
            <w:fldChar w:fldCharType="separate"/>
          </w:r>
          <w:r>
            <w:t>15</w:t>
          </w:r>
          <w:r>
            <w:fldChar w:fldCharType="end"/>
          </w:r>
          <w:r>
            <w:fldChar w:fldCharType="end"/>
          </w:r>
        </w:p>
        <w:p>
          <w:pPr>
            <w:pStyle w:val="11"/>
            <w:tabs>
              <w:tab w:val="right" w:leader="dot" w:pos="9650"/>
            </w:tabs>
          </w:pPr>
          <w:r>
            <w:fldChar w:fldCharType="begin"/>
          </w:r>
          <w:r>
            <w:instrText xml:space="preserve"> HYPERLINK \l _Toc1121 </w:instrText>
          </w:r>
          <w:r>
            <w:fldChar w:fldCharType="separate"/>
          </w:r>
          <w:r>
            <w:rPr>
              <w:rFonts w:hint="eastAsia" w:ascii="黑体" w:hAnsi="黑体" w:eastAsia="黑体" w:cstheme="majorBidi"/>
              <w:kern w:val="2"/>
              <w:szCs w:val="28"/>
              <w:lang w:val="en-US" w:eastAsia="zh-CN"/>
            </w:rPr>
            <w:t>（四）学生竞赛及发明专利情况</w:t>
          </w:r>
          <w:r>
            <w:tab/>
          </w:r>
          <w:r>
            <w:fldChar w:fldCharType="begin"/>
          </w:r>
          <w:r>
            <w:instrText xml:space="preserve"> PAGEREF _Toc1121 </w:instrText>
          </w:r>
          <w:r>
            <w:fldChar w:fldCharType="separate"/>
          </w:r>
          <w:r>
            <w:t>16</w:t>
          </w:r>
          <w:r>
            <w:fldChar w:fldCharType="end"/>
          </w:r>
          <w:r>
            <w:fldChar w:fldCharType="end"/>
          </w:r>
        </w:p>
        <w:p>
          <w:pPr>
            <w:pStyle w:val="11"/>
            <w:tabs>
              <w:tab w:val="right" w:leader="dot" w:pos="9650"/>
            </w:tabs>
          </w:pPr>
          <w:r>
            <w:fldChar w:fldCharType="begin"/>
          </w:r>
          <w:r>
            <w:instrText xml:space="preserve"> HYPERLINK \l _Toc14476 </w:instrText>
          </w:r>
          <w:r>
            <w:fldChar w:fldCharType="separate"/>
          </w:r>
          <w:r>
            <w:rPr>
              <w:rFonts w:hint="eastAsia" w:ascii="黑体" w:hAnsi="黑体" w:eastAsia="黑体" w:cstheme="majorBidi"/>
              <w:kern w:val="2"/>
              <w:szCs w:val="28"/>
              <w:lang w:val="en-US" w:eastAsia="zh-CN"/>
            </w:rPr>
            <w:t>（五）社会实践活动</w:t>
          </w:r>
          <w:r>
            <w:tab/>
          </w:r>
          <w:r>
            <w:fldChar w:fldCharType="begin"/>
          </w:r>
          <w:r>
            <w:instrText xml:space="preserve"> PAGEREF _Toc14476 </w:instrText>
          </w:r>
          <w:r>
            <w:fldChar w:fldCharType="separate"/>
          </w:r>
          <w:r>
            <w:t>16</w:t>
          </w:r>
          <w:r>
            <w:fldChar w:fldCharType="end"/>
          </w:r>
          <w:r>
            <w:fldChar w:fldCharType="end"/>
          </w:r>
        </w:p>
        <w:p>
          <w:pPr>
            <w:pStyle w:val="10"/>
            <w:tabs>
              <w:tab w:val="right" w:leader="dot" w:pos="9650"/>
            </w:tabs>
          </w:pPr>
          <w:r>
            <w:fldChar w:fldCharType="begin"/>
          </w:r>
          <w:r>
            <w:instrText xml:space="preserve"> HYPERLINK \l _Toc29590 </w:instrText>
          </w:r>
          <w:r>
            <w:fldChar w:fldCharType="separate"/>
          </w:r>
          <w:r>
            <w:rPr>
              <w:rFonts w:hint="eastAsia" w:ascii="黑体" w:hAnsi="黑体" w:eastAsia="黑体"/>
              <w:szCs w:val="30"/>
            </w:rPr>
            <w:t>七、特色发展</w:t>
          </w:r>
          <w:r>
            <w:tab/>
          </w:r>
          <w:r>
            <w:fldChar w:fldCharType="begin"/>
          </w:r>
          <w:r>
            <w:instrText xml:space="preserve"> PAGEREF _Toc29590 </w:instrText>
          </w:r>
          <w:r>
            <w:fldChar w:fldCharType="separate"/>
          </w:r>
          <w:r>
            <w:t>16</w:t>
          </w:r>
          <w:r>
            <w:fldChar w:fldCharType="end"/>
          </w:r>
          <w:r>
            <w:fldChar w:fldCharType="end"/>
          </w:r>
        </w:p>
        <w:p>
          <w:pPr>
            <w:pStyle w:val="11"/>
            <w:tabs>
              <w:tab w:val="right" w:leader="dot" w:pos="9650"/>
            </w:tabs>
          </w:pPr>
          <w:r>
            <w:fldChar w:fldCharType="begin"/>
          </w:r>
          <w:r>
            <w:instrText xml:space="preserve"> HYPERLINK \l _Toc26890 </w:instrText>
          </w:r>
          <w:r>
            <w:fldChar w:fldCharType="separate"/>
          </w:r>
          <w:r>
            <w:rPr>
              <w:rFonts w:hint="eastAsia" w:ascii="黑体" w:hAnsi="黑体" w:eastAsia="黑体" w:cstheme="majorBidi"/>
              <w:kern w:val="2"/>
              <w:szCs w:val="28"/>
              <w:lang w:val="en-US" w:eastAsia="zh-CN"/>
            </w:rPr>
            <w:t>（一）对接产业设置专业，提升专业服务区域经济社会发展的能力</w:t>
          </w:r>
          <w:r>
            <w:tab/>
          </w:r>
          <w:r>
            <w:fldChar w:fldCharType="begin"/>
          </w:r>
          <w:r>
            <w:instrText xml:space="preserve"> PAGEREF _Toc26890 </w:instrText>
          </w:r>
          <w:r>
            <w:fldChar w:fldCharType="separate"/>
          </w:r>
          <w:r>
            <w:t>16</w:t>
          </w:r>
          <w:r>
            <w:fldChar w:fldCharType="end"/>
          </w:r>
          <w:r>
            <w:fldChar w:fldCharType="end"/>
          </w:r>
        </w:p>
        <w:p>
          <w:pPr>
            <w:pStyle w:val="11"/>
            <w:tabs>
              <w:tab w:val="right" w:leader="dot" w:pos="9650"/>
            </w:tabs>
          </w:pPr>
          <w:r>
            <w:fldChar w:fldCharType="begin"/>
          </w:r>
          <w:r>
            <w:instrText xml:space="preserve"> HYPERLINK \l _Toc19812 </w:instrText>
          </w:r>
          <w:r>
            <w:fldChar w:fldCharType="separate"/>
          </w:r>
          <w:r>
            <w:rPr>
              <w:rFonts w:hint="eastAsia" w:ascii="黑体" w:hAnsi="黑体" w:eastAsia="黑体" w:cstheme="majorBidi"/>
              <w:kern w:val="2"/>
              <w:szCs w:val="28"/>
              <w:lang w:val="en-US" w:eastAsia="zh-CN"/>
            </w:rPr>
            <w:t>（二）推进应用型课程和课堂改革，着力提升教学质量</w:t>
          </w:r>
          <w:r>
            <w:tab/>
          </w:r>
          <w:r>
            <w:fldChar w:fldCharType="begin"/>
          </w:r>
          <w:r>
            <w:instrText xml:space="preserve"> PAGEREF _Toc19812 </w:instrText>
          </w:r>
          <w:r>
            <w:fldChar w:fldCharType="separate"/>
          </w:r>
          <w:r>
            <w:t>18</w:t>
          </w:r>
          <w:r>
            <w:fldChar w:fldCharType="end"/>
          </w:r>
          <w:r>
            <w:fldChar w:fldCharType="end"/>
          </w:r>
        </w:p>
        <w:p>
          <w:pPr>
            <w:pStyle w:val="11"/>
            <w:tabs>
              <w:tab w:val="right" w:leader="dot" w:pos="9650"/>
            </w:tabs>
          </w:pPr>
          <w:r>
            <w:fldChar w:fldCharType="begin"/>
          </w:r>
          <w:r>
            <w:instrText xml:space="preserve"> HYPERLINK \l _Toc26852 </w:instrText>
          </w:r>
          <w:r>
            <w:fldChar w:fldCharType="separate"/>
          </w:r>
          <w:r>
            <w:rPr>
              <w:rFonts w:hint="eastAsia" w:ascii="黑体" w:hAnsi="黑体" w:eastAsia="黑体" w:cstheme="majorBidi"/>
              <w:kern w:val="2"/>
              <w:szCs w:val="28"/>
              <w:lang w:val="en-US" w:eastAsia="zh-CN"/>
            </w:rPr>
            <w:t>（三）坚持产教融合校企合作开放式办学模式，找准应用型人才培养途径</w:t>
          </w:r>
          <w:r>
            <w:tab/>
          </w:r>
          <w:r>
            <w:fldChar w:fldCharType="begin"/>
          </w:r>
          <w:r>
            <w:instrText xml:space="preserve"> PAGEREF _Toc26852 </w:instrText>
          </w:r>
          <w:r>
            <w:fldChar w:fldCharType="separate"/>
          </w:r>
          <w:r>
            <w:t>18</w:t>
          </w:r>
          <w:r>
            <w:fldChar w:fldCharType="end"/>
          </w:r>
          <w:r>
            <w:fldChar w:fldCharType="end"/>
          </w:r>
        </w:p>
        <w:p>
          <w:pPr>
            <w:pStyle w:val="11"/>
            <w:tabs>
              <w:tab w:val="right" w:leader="dot" w:pos="9650"/>
            </w:tabs>
          </w:pPr>
          <w:r>
            <w:fldChar w:fldCharType="begin"/>
          </w:r>
          <w:r>
            <w:instrText xml:space="preserve"> HYPERLINK \l _Toc14505 </w:instrText>
          </w:r>
          <w:r>
            <w:fldChar w:fldCharType="separate"/>
          </w:r>
          <w:r>
            <w:rPr>
              <w:rFonts w:hint="eastAsia" w:ascii="黑体" w:hAnsi="黑体" w:eastAsia="黑体" w:cstheme="majorBidi"/>
              <w:kern w:val="2"/>
              <w:szCs w:val="28"/>
              <w:lang w:val="en-US" w:eastAsia="zh-CN"/>
            </w:rPr>
            <w:t>（四）推进创新创业教育改革，开创应用技术大学建设新体验</w:t>
          </w:r>
          <w:r>
            <w:tab/>
          </w:r>
          <w:r>
            <w:fldChar w:fldCharType="begin"/>
          </w:r>
          <w:r>
            <w:instrText xml:space="preserve"> PAGEREF _Toc14505 </w:instrText>
          </w:r>
          <w:r>
            <w:fldChar w:fldCharType="separate"/>
          </w:r>
          <w:r>
            <w:t>18</w:t>
          </w:r>
          <w:r>
            <w:fldChar w:fldCharType="end"/>
          </w:r>
          <w:r>
            <w:fldChar w:fldCharType="end"/>
          </w:r>
        </w:p>
        <w:p>
          <w:pPr>
            <w:pStyle w:val="11"/>
            <w:tabs>
              <w:tab w:val="right" w:leader="dot" w:pos="9650"/>
            </w:tabs>
          </w:pPr>
          <w:r>
            <w:fldChar w:fldCharType="begin"/>
          </w:r>
          <w:r>
            <w:instrText xml:space="preserve"> HYPERLINK \l _Toc11964 </w:instrText>
          </w:r>
          <w:r>
            <w:fldChar w:fldCharType="separate"/>
          </w:r>
          <w:r>
            <w:rPr>
              <w:rFonts w:hint="eastAsia" w:ascii="黑体" w:hAnsi="黑体" w:eastAsia="黑体" w:cstheme="majorBidi"/>
              <w:kern w:val="2"/>
              <w:szCs w:val="28"/>
              <w:lang w:val="en-US" w:eastAsia="zh-CN"/>
            </w:rPr>
            <w:t>（五）构建应用型高校治理体系，释放民办高校办学新活力</w:t>
          </w:r>
          <w:r>
            <w:tab/>
          </w:r>
          <w:r>
            <w:fldChar w:fldCharType="begin"/>
          </w:r>
          <w:r>
            <w:instrText xml:space="preserve"> PAGEREF _Toc11964 </w:instrText>
          </w:r>
          <w:r>
            <w:fldChar w:fldCharType="separate"/>
          </w:r>
          <w:r>
            <w:t>19</w:t>
          </w:r>
          <w:r>
            <w:fldChar w:fldCharType="end"/>
          </w:r>
          <w:r>
            <w:fldChar w:fldCharType="end"/>
          </w:r>
        </w:p>
        <w:p>
          <w:pPr>
            <w:pStyle w:val="10"/>
            <w:tabs>
              <w:tab w:val="right" w:leader="dot" w:pos="9650"/>
            </w:tabs>
          </w:pPr>
          <w:r>
            <w:fldChar w:fldCharType="begin"/>
          </w:r>
          <w:r>
            <w:instrText xml:space="preserve"> HYPERLINK \l _Toc30674 </w:instrText>
          </w:r>
          <w:r>
            <w:fldChar w:fldCharType="separate"/>
          </w:r>
          <w:r>
            <w:rPr>
              <w:rFonts w:hint="eastAsia" w:ascii="黑体" w:hAnsi="黑体" w:eastAsia="黑体"/>
              <w:szCs w:val="30"/>
            </w:rPr>
            <w:t>八、 存在问题及改进计划</w:t>
          </w:r>
          <w:r>
            <w:tab/>
          </w:r>
          <w:r>
            <w:fldChar w:fldCharType="begin"/>
          </w:r>
          <w:r>
            <w:instrText xml:space="preserve"> PAGEREF _Toc30674 </w:instrText>
          </w:r>
          <w:r>
            <w:fldChar w:fldCharType="separate"/>
          </w:r>
          <w:r>
            <w:t>19</w:t>
          </w:r>
          <w:r>
            <w:fldChar w:fldCharType="end"/>
          </w:r>
          <w:r>
            <w:fldChar w:fldCharType="end"/>
          </w:r>
        </w:p>
        <w:p>
          <w:pPr>
            <w:pStyle w:val="11"/>
            <w:tabs>
              <w:tab w:val="right" w:leader="dot" w:pos="9650"/>
            </w:tabs>
          </w:pPr>
          <w:r>
            <w:fldChar w:fldCharType="begin"/>
          </w:r>
          <w:r>
            <w:instrText xml:space="preserve"> HYPERLINK \l _Toc18514 </w:instrText>
          </w:r>
          <w:r>
            <w:fldChar w:fldCharType="separate"/>
          </w:r>
          <w:r>
            <w:rPr>
              <w:rFonts w:hint="eastAsia" w:ascii="黑体" w:hAnsi="黑体" w:eastAsia="黑体" w:cstheme="majorBidi"/>
              <w:kern w:val="2"/>
              <w:szCs w:val="28"/>
              <w:lang w:val="en-US" w:eastAsia="zh-CN"/>
            </w:rPr>
            <w:t>（一）继续加强应用型师资队伍建设</w:t>
          </w:r>
          <w:r>
            <w:tab/>
          </w:r>
          <w:r>
            <w:fldChar w:fldCharType="begin"/>
          </w:r>
          <w:r>
            <w:instrText xml:space="preserve"> PAGEREF _Toc18514 </w:instrText>
          </w:r>
          <w:r>
            <w:fldChar w:fldCharType="separate"/>
          </w:r>
          <w:r>
            <w:t>19</w:t>
          </w:r>
          <w:r>
            <w:fldChar w:fldCharType="end"/>
          </w:r>
          <w:r>
            <w:fldChar w:fldCharType="end"/>
          </w:r>
        </w:p>
        <w:p>
          <w:pPr>
            <w:pStyle w:val="11"/>
            <w:tabs>
              <w:tab w:val="right" w:leader="dot" w:pos="9650"/>
            </w:tabs>
          </w:pPr>
          <w:r>
            <w:fldChar w:fldCharType="begin"/>
          </w:r>
          <w:r>
            <w:instrText xml:space="preserve"> HYPERLINK \l _Toc2687 </w:instrText>
          </w:r>
          <w:r>
            <w:fldChar w:fldCharType="separate"/>
          </w:r>
          <w:r>
            <w:rPr>
              <w:rFonts w:hint="eastAsia" w:ascii="黑体" w:hAnsi="黑体" w:eastAsia="黑体"/>
              <w:szCs w:val="28"/>
            </w:rPr>
            <w:t>（</w:t>
          </w:r>
          <w:r>
            <w:rPr>
              <w:rFonts w:hint="eastAsia" w:ascii="黑体" w:hAnsi="黑体" w:eastAsia="黑体"/>
              <w:szCs w:val="28"/>
              <w:lang w:eastAsia="zh-CN"/>
            </w:rPr>
            <w:t>二</w:t>
          </w:r>
          <w:r>
            <w:rPr>
              <w:rFonts w:hint="eastAsia" w:ascii="黑体" w:hAnsi="黑体" w:eastAsia="黑体"/>
              <w:szCs w:val="28"/>
            </w:rPr>
            <w:t>）</w:t>
          </w:r>
          <w:r>
            <w:rPr>
              <w:rFonts w:hint="eastAsia" w:ascii="黑体" w:hAnsi="黑体" w:eastAsia="黑体"/>
              <w:szCs w:val="28"/>
              <w:lang w:eastAsia="zh-CN"/>
            </w:rPr>
            <w:t>继续</w:t>
          </w:r>
          <w:r>
            <w:rPr>
              <w:rFonts w:hint="eastAsia" w:ascii="黑体" w:hAnsi="黑体" w:eastAsia="黑体"/>
              <w:szCs w:val="28"/>
            </w:rPr>
            <w:t>优化应用型人才培养顶层设计</w:t>
          </w:r>
          <w:r>
            <w:tab/>
          </w:r>
          <w:r>
            <w:fldChar w:fldCharType="begin"/>
          </w:r>
          <w:r>
            <w:instrText xml:space="preserve"> PAGEREF _Toc2687 </w:instrText>
          </w:r>
          <w:r>
            <w:fldChar w:fldCharType="separate"/>
          </w:r>
          <w:r>
            <w:t>19</w:t>
          </w:r>
          <w:r>
            <w:fldChar w:fldCharType="end"/>
          </w:r>
          <w:r>
            <w:fldChar w:fldCharType="end"/>
          </w:r>
        </w:p>
        <w:p>
          <w:pPr>
            <w:pStyle w:val="11"/>
            <w:tabs>
              <w:tab w:val="right" w:leader="dot" w:pos="9650"/>
            </w:tabs>
          </w:pPr>
          <w:r>
            <w:fldChar w:fldCharType="begin"/>
          </w:r>
          <w:r>
            <w:instrText xml:space="preserve"> HYPERLINK \l _Toc17441 </w:instrText>
          </w:r>
          <w:r>
            <w:fldChar w:fldCharType="separate"/>
          </w:r>
          <w:r>
            <w:rPr>
              <w:rFonts w:hint="eastAsia" w:ascii="黑体" w:hAnsi="黑体" w:eastAsia="黑体"/>
              <w:szCs w:val="28"/>
            </w:rPr>
            <w:t>（</w:t>
          </w:r>
          <w:r>
            <w:rPr>
              <w:rFonts w:hint="eastAsia" w:ascii="黑体" w:hAnsi="黑体" w:eastAsia="黑体"/>
              <w:szCs w:val="28"/>
              <w:lang w:eastAsia="zh-CN"/>
            </w:rPr>
            <w:t>三</w:t>
          </w:r>
          <w:r>
            <w:rPr>
              <w:rFonts w:hint="eastAsia" w:ascii="黑体" w:hAnsi="黑体" w:eastAsia="黑体"/>
              <w:szCs w:val="28"/>
            </w:rPr>
            <w:t>）</w:t>
          </w:r>
          <w:r>
            <w:rPr>
              <w:rFonts w:hint="eastAsia" w:ascii="黑体" w:hAnsi="黑体" w:eastAsia="黑体"/>
              <w:szCs w:val="28"/>
              <w:lang w:eastAsia="zh-CN"/>
            </w:rPr>
            <w:t>继续加大</w:t>
          </w:r>
          <w:r>
            <w:rPr>
              <w:rFonts w:hint="eastAsia" w:ascii="黑体" w:hAnsi="黑体" w:eastAsia="黑体"/>
              <w:szCs w:val="28"/>
            </w:rPr>
            <w:t>教学改革深度广度</w:t>
          </w:r>
          <w:r>
            <w:tab/>
          </w:r>
          <w:r>
            <w:fldChar w:fldCharType="begin"/>
          </w:r>
          <w:r>
            <w:instrText xml:space="preserve"> PAGEREF _Toc17441 </w:instrText>
          </w:r>
          <w:r>
            <w:fldChar w:fldCharType="separate"/>
          </w:r>
          <w:r>
            <w:t>20</w:t>
          </w:r>
          <w:r>
            <w:fldChar w:fldCharType="end"/>
          </w:r>
          <w:r>
            <w:fldChar w:fldCharType="end"/>
          </w:r>
        </w:p>
        <w:p>
          <w:pPr>
            <w:pStyle w:val="10"/>
            <w:tabs>
              <w:tab w:val="right" w:leader="dot" w:pos="9650"/>
            </w:tabs>
          </w:pPr>
          <w:r>
            <w:fldChar w:fldCharType="begin"/>
          </w:r>
          <w:r>
            <w:instrText xml:space="preserve"> HYPERLINK \l _Toc27859 </w:instrText>
          </w:r>
          <w:r>
            <w:fldChar w:fldCharType="separate"/>
          </w:r>
          <w:r>
            <w:rPr>
              <w:rFonts w:hint="eastAsia" w:ascii="黑体" w:hAnsi="黑体" w:eastAsia="黑体"/>
              <w:szCs w:val="30"/>
            </w:rPr>
            <w:t>南宁学院201</w:t>
          </w:r>
          <w:r>
            <w:rPr>
              <w:rFonts w:hint="eastAsia" w:ascii="黑体" w:hAnsi="黑体" w:eastAsia="黑体"/>
              <w:szCs w:val="30"/>
              <w:lang w:val="en-US" w:eastAsia="zh-CN"/>
            </w:rPr>
            <w:t>7</w:t>
          </w:r>
          <w:r>
            <w:rPr>
              <w:rFonts w:hint="eastAsia" w:ascii="黑体" w:hAnsi="黑体" w:eastAsia="黑体"/>
              <w:szCs w:val="30"/>
            </w:rPr>
            <w:t>-201</w:t>
          </w:r>
          <w:r>
            <w:rPr>
              <w:rFonts w:hint="eastAsia" w:ascii="黑体" w:hAnsi="黑体" w:eastAsia="黑体"/>
              <w:szCs w:val="30"/>
              <w:lang w:val="en-US" w:eastAsia="zh-CN"/>
            </w:rPr>
            <w:t>8</w:t>
          </w:r>
          <w:r>
            <w:rPr>
              <w:rFonts w:hint="eastAsia" w:ascii="黑体" w:hAnsi="黑体" w:eastAsia="黑体"/>
              <w:szCs w:val="30"/>
            </w:rPr>
            <w:t>学年本科教学质量报告支撑数据</w:t>
          </w:r>
          <w:r>
            <w:tab/>
          </w:r>
          <w:r>
            <w:fldChar w:fldCharType="begin"/>
          </w:r>
          <w:r>
            <w:instrText xml:space="preserve"> PAGEREF _Toc27859 </w:instrText>
          </w:r>
          <w:r>
            <w:fldChar w:fldCharType="separate"/>
          </w:r>
          <w:r>
            <w:t>21</w:t>
          </w:r>
          <w:r>
            <w:fldChar w:fldCharType="end"/>
          </w:r>
          <w:r>
            <w:fldChar w:fldCharType="end"/>
          </w:r>
        </w:p>
        <w:p>
          <w:pPr>
            <w:pageBreakBefore w:val="0"/>
            <w:widowControl w:val="0"/>
            <w:kinsoku/>
            <w:wordWrap/>
            <w:overflowPunct/>
            <w:topLinePunct w:val="0"/>
            <w:autoSpaceDE/>
            <w:autoSpaceDN/>
            <w:bidi w:val="0"/>
            <w:adjustRightInd/>
            <w:snapToGrid/>
            <w:spacing w:before="0" w:line="240" w:lineRule="auto"/>
            <w:ind w:left="0" w:right="250" w:firstLine="0"/>
            <w:jc w:val="left"/>
            <w:textAlignment w:val="auto"/>
          </w:pPr>
          <w:r>
            <w:fldChar w:fldCharType="end"/>
          </w:r>
        </w:p>
      </w:sdtContent>
    </w:sdt>
    <w:p>
      <w:pPr>
        <w:spacing w:line="240" w:lineRule="auto"/>
        <w:ind w:firstLine="600" w:firstLineChars="200"/>
        <w:jc w:val="center"/>
        <w:rPr>
          <w:rFonts w:hint="eastAsia" w:ascii="黑体" w:hAnsi="黑体" w:eastAsia="黑体" w:cs="黑体"/>
          <w:b w:val="0"/>
          <w:bCs w:val="0"/>
          <w:sz w:val="30"/>
          <w:szCs w:val="30"/>
          <w:lang w:eastAsia="zh-CN"/>
        </w:rPr>
        <w:sectPr>
          <w:footerReference r:id="rId4" w:type="default"/>
          <w:pgSz w:w="11910" w:h="16840"/>
          <w:pgMar w:top="1400" w:right="1000" w:bottom="1160" w:left="1260" w:header="0" w:footer="964" w:gutter="0"/>
          <w:pgBorders>
            <w:top w:val="none" w:sz="0" w:space="0"/>
            <w:left w:val="none" w:sz="0" w:space="0"/>
            <w:bottom w:val="none" w:sz="0" w:space="0"/>
            <w:right w:val="none" w:sz="0" w:space="0"/>
          </w:pgBorders>
          <w:pgNumType w:start="1"/>
        </w:sectPr>
      </w:pPr>
      <w:bookmarkStart w:id="0" w:name="_Toc14438"/>
    </w:p>
    <w:p>
      <w:pPr>
        <w:spacing w:line="240" w:lineRule="auto"/>
        <w:ind w:firstLine="723" w:firstLineChars="20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南宁学院</w:t>
      </w:r>
      <w:r>
        <w:rPr>
          <w:rFonts w:hint="eastAsia" w:ascii="黑体" w:hAnsi="黑体" w:eastAsia="黑体" w:cs="黑体"/>
          <w:b/>
          <w:bCs/>
          <w:sz w:val="36"/>
          <w:szCs w:val="36"/>
          <w:lang w:val="en-US" w:eastAsia="zh-CN"/>
        </w:rPr>
        <w:t>2017-2018学年本科教学质量报告</w:t>
      </w:r>
    </w:p>
    <w:p>
      <w:pPr>
        <w:spacing w:line="240" w:lineRule="auto"/>
        <w:ind w:firstLine="480" w:firstLineChars="200"/>
        <w:rPr>
          <w:rFonts w:hint="eastAsia" w:ascii="宋体" w:hAnsi="宋体" w:eastAsia="宋体" w:cs="宋体"/>
          <w:bCs/>
          <w:sz w:val="24"/>
          <w:szCs w:val="24"/>
          <w:lang w:eastAsia="zh-CN"/>
        </w:rPr>
      </w:pPr>
    </w:p>
    <w:p>
      <w:pPr>
        <w:spacing w:line="24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南宁学院由南宁市人民政府委派南宁威宁资产公司与中国国民党革命委员会广西壮族自治区委员会合作共办，是经教育部批准的全日制普通本科高校，其前身是创办于1985年的邕江大学，2012年12月升格为本科高校。升本之后，抓住国家分类建设应用技术类高校的机遇，坚持应用型办学定位，贯彻“应用型、开放式、新体验”的办学理念，从广西相对欠发展的区情和自身国有民办的校情出发，依托民办高校灵活的办学体制机制，积极进行产教融合协同育人的实践和探索，不断创新人才培养模式，先后成为国家首批35所应用技术大学试点高校之一、广西新建本科学校整体转型试点高校以及广西应用型本科高校联盟副理事长兼秘书长单位，目前已发展为一所以工学为主，经济学、管理学、艺术学等为辅的多学科协调发展的新型应用型本科高校。</w:t>
      </w:r>
    </w:p>
    <w:p>
      <w:pPr>
        <w:spacing w:line="24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学校位于广西首府南宁市五象新区核心区，毗邻邕宁新兴产业园区，背靠中国（南宁）国际园林博览园，周边集聚有生态体验、休闲旅游等资源，具有优越的地理位置、交通设施和产学研一体化环境。学校设置有</w:t>
      </w:r>
      <w:r>
        <w:rPr>
          <w:rFonts w:hint="eastAsia" w:ascii="宋体" w:hAnsi="宋体" w:eastAsia="宋体" w:cs="宋体"/>
          <w:bCs/>
          <w:sz w:val="24"/>
          <w:szCs w:val="24"/>
          <w:lang w:val="en-US" w:eastAsia="zh-CN"/>
        </w:rPr>
        <w:t>12个</w:t>
      </w:r>
      <w:r>
        <w:rPr>
          <w:rFonts w:hint="eastAsia" w:ascii="宋体" w:hAnsi="宋体" w:eastAsia="宋体" w:cs="宋体"/>
          <w:bCs/>
          <w:sz w:val="24"/>
          <w:szCs w:val="24"/>
          <w:lang w:eastAsia="zh-CN"/>
        </w:rPr>
        <w:t>院部，25个本科专业，在校生</w:t>
      </w:r>
      <w:r>
        <w:rPr>
          <w:rFonts w:hint="eastAsia" w:ascii="宋体" w:hAnsi="宋体" w:eastAsia="宋体" w:cs="宋体"/>
          <w:bCs/>
          <w:sz w:val="24"/>
          <w:szCs w:val="24"/>
          <w:lang w:val="en-US" w:eastAsia="zh-CN"/>
        </w:rPr>
        <w:t>14415</w:t>
      </w:r>
      <w:r>
        <w:rPr>
          <w:rFonts w:hint="eastAsia" w:ascii="宋体" w:hAnsi="宋体" w:eastAsia="宋体" w:cs="宋体"/>
          <w:bCs/>
          <w:sz w:val="24"/>
          <w:szCs w:val="24"/>
          <w:lang w:eastAsia="zh-CN"/>
        </w:rPr>
        <w:t>人；教师70</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人，他们当中有全国先进教师，自治区级学科带头人、特级教师，还有来自企业、行业一线的专家、技师；校园总占地面积84.65万平方米，校舍建筑面积42.81万平方米，教学行政用房面积23.15万平方米，校园环境优美，国家</w:t>
      </w:r>
      <w:r>
        <w:rPr>
          <w:rFonts w:hint="eastAsia" w:ascii="宋体" w:hAnsi="宋体" w:eastAsia="宋体" w:cs="宋体"/>
          <w:bCs/>
          <w:sz w:val="24"/>
          <w:szCs w:val="24"/>
          <w:lang w:val="en-US" w:eastAsia="zh-CN"/>
        </w:rPr>
        <w:t>AAA景区不孤湖景区位于校园内，</w:t>
      </w:r>
      <w:r>
        <w:rPr>
          <w:rFonts w:hint="eastAsia" w:ascii="宋体" w:hAnsi="宋体" w:eastAsia="宋体" w:cs="宋体"/>
          <w:bCs/>
          <w:sz w:val="24"/>
          <w:szCs w:val="24"/>
          <w:lang w:eastAsia="zh-CN"/>
        </w:rPr>
        <w:t>校园无线网络覆盖教学、实验区域；教学科研仪器设备总值1.1亿元，建有ICT融合创新实验实训室、智能交通实训室、VBSE跨专业综合实训室等</w:t>
      </w:r>
      <w:r>
        <w:rPr>
          <w:rFonts w:hint="eastAsia" w:ascii="宋体" w:hAnsi="宋体" w:eastAsia="宋体" w:cs="宋体"/>
          <w:bCs/>
          <w:sz w:val="24"/>
          <w:szCs w:val="24"/>
          <w:lang w:val="en-US" w:eastAsia="zh-CN"/>
        </w:rPr>
        <w:t>213</w:t>
      </w:r>
      <w:r>
        <w:rPr>
          <w:rFonts w:hint="eastAsia" w:ascii="宋体" w:hAnsi="宋体" w:eastAsia="宋体" w:cs="宋体"/>
          <w:bCs/>
          <w:sz w:val="24"/>
          <w:szCs w:val="24"/>
          <w:lang w:eastAsia="zh-CN"/>
        </w:rPr>
        <w:t>个功能实验实训室；建有广西区内高规格的图书馆，馆藏纸质图书11</w:t>
      </w:r>
      <w:r>
        <w:rPr>
          <w:rFonts w:hint="eastAsia" w:ascii="宋体" w:hAnsi="宋体" w:eastAsia="宋体" w:cs="宋体"/>
          <w:bCs/>
          <w:sz w:val="24"/>
          <w:szCs w:val="24"/>
          <w:lang w:val="en-US" w:eastAsia="zh-CN"/>
        </w:rPr>
        <w:t>9</w:t>
      </w:r>
      <w:r>
        <w:rPr>
          <w:rFonts w:hint="eastAsia" w:ascii="宋体" w:hAnsi="宋体" w:eastAsia="宋体" w:cs="宋体"/>
          <w:bCs/>
          <w:sz w:val="24"/>
          <w:szCs w:val="24"/>
          <w:lang w:eastAsia="zh-CN"/>
        </w:rPr>
        <w:t>万余册；学生公寓全部配有空调和24小时热水系统。</w:t>
      </w:r>
      <w:bookmarkEnd w:id="0"/>
    </w:p>
    <w:p>
      <w:pPr>
        <w:spacing w:line="24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学校始终坚持党的领导，坚持社会主义办学方向，全面贯彻党的教育方针，遵循高等教育规律，以培养高素质应用型人才为统领，以立德树人为根本，以学生发展为中心，主动服务区域经济社会发展，聚焦应用型人才培养，创新发展理念，转变办学行为，坚持内涵建设，培育办学特色。学校先后制定出台了《南宁学院建设全国一流应用技术大学三年行动计划（2013-2016）》、《南宁学院“十三五”教育事业发展规划》、《南宁学院深化应用技术大学建设暨迎接本科教学合格评估三年行动计划（2017-2019）》，确定了学校发展</w:t>
      </w:r>
      <w:r>
        <w:rPr>
          <w:rFonts w:hint="eastAsia" w:ascii="宋体" w:hAnsi="宋体" w:eastAsia="宋体" w:cs="宋体"/>
          <w:b/>
          <w:bCs w:val="0"/>
          <w:sz w:val="24"/>
          <w:szCs w:val="24"/>
          <w:lang w:eastAsia="zh-CN"/>
        </w:rPr>
        <w:t>总体目标</w:t>
      </w:r>
      <w:r>
        <w:rPr>
          <w:rFonts w:hint="eastAsia" w:ascii="宋体" w:hAnsi="宋体" w:eastAsia="宋体" w:cs="宋体"/>
          <w:bCs/>
          <w:sz w:val="24"/>
          <w:szCs w:val="24"/>
          <w:lang w:eastAsia="zh-CN"/>
        </w:rPr>
        <w:t>：建设特色鲜明的全国一流应用技术大学，明确了学校发展思路：坚持</w:t>
      </w:r>
      <w:r>
        <w:rPr>
          <w:rFonts w:hint="eastAsia" w:ascii="宋体" w:hAnsi="宋体" w:eastAsia="宋体" w:cs="宋体"/>
          <w:b/>
          <w:bCs w:val="0"/>
          <w:sz w:val="24"/>
          <w:szCs w:val="24"/>
          <w:lang w:eastAsia="zh-CN"/>
        </w:rPr>
        <w:t>“一条主线”</w:t>
      </w:r>
      <w:r>
        <w:rPr>
          <w:rFonts w:hint="eastAsia" w:ascii="宋体" w:hAnsi="宋体" w:eastAsia="宋体" w:cs="宋体"/>
          <w:bCs/>
          <w:sz w:val="24"/>
          <w:szCs w:val="24"/>
          <w:lang w:eastAsia="zh-CN"/>
        </w:rPr>
        <w:t>即提高应用型人才培养质量，围绕</w:t>
      </w:r>
      <w:r>
        <w:rPr>
          <w:rFonts w:hint="eastAsia" w:ascii="宋体" w:hAnsi="宋体" w:eastAsia="宋体" w:cs="宋体"/>
          <w:b/>
          <w:bCs w:val="0"/>
          <w:sz w:val="24"/>
          <w:szCs w:val="24"/>
          <w:lang w:eastAsia="zh-CN"/>
        </w:rPr>
        <w:t>“两个重点”</w:t>
      </w:r>
      <w:r>
        <w:rPr>
          <w:rFonts w:hint="eastAsia" w:ascii="宋体" w:hAnsi="宋体" w:eastAsia="宋体" w:cs="宋体"/>
          <w:bCs/>
          <w:sz w:val="24"/>
          <w:szCs w:val="24"/>
          <w:lang w:eastAsia="zh-CN"/>
        </w:rPr>
        <w:t>即弥补短板、彰显特色，落实</w:t>
      </w:r>
      <w:r>
        <w:rPr>
          <w:rFonts w:hint="eastAsia" w:ascii="宋体" w:hAnsi="宋体" w:eastAsia="宋体" w:cs="宋体"/>
          <w:b/>
          <w:bCs w:val="0"/>
          <w:sz w:val="24"/>
          <w:szCs w:val="24"/>
          <w:lang w:eastAsia="zh-CN"/>
        </w:rPr>
        <w:t>“三大战略”</w:t>
      </w:r>
      <w:r>
        <w:rPr>
          <w:rFonts w:hint="eastAsia" w:ascii="宋体" w:hAnsi="宋体" w:eastAsia="宋体" w:cs="宋体"/>
          <w:bCs/>
          <w:sz w:val="24"/>
          <w:szCs w:val="24"/>
          <w:lang w:eastAsia="zh-CN"/>
        </w:rPr>
        <w:t>即“铸魂”、“立根”、“固本”三大发展战略，实施</w:t>
      </w:r>
      <w:r>
        <w:rPr>
          <w:rFonts w:hint="eastAsia" w:ascii="宋体" w:hAnsi="宋体" w:eastAsia="宋体" w:cs="宋体"/>
          <w:b/>
          <w:bCs w:val="0"/>
          <w:sz w:val="24"/>
          <w:szCs w:val="24"/>
          <w:lang w:eastAsia="zh-CN"/>
        </w:rPr>
        <w:t>“十大工程”</w:t>
      </w:r>
      <w:r>
        <w:rPr>
          <w:rFonts w:hint="eastAsia" w:ascii="宋体" w:hAnsi="宋体" w:eastAsia="宋体" w:cs="宋体"/>
          <w:bCs/>
          <w:sz w:val="24"/>
          <w:szCs w:val="24"/>
          <w:lang w:eastAsia="zh-CN"/>
        </w:rPr>
        <w:t>即本科教育质量提高工程、师资队伍建设工程、应用型科研体系建设工程、创新创业教育推进工程、学生教育管理与服务提质工程、特色校园文化建设工程、海外交流与合作拓展工程、党建与思想政治工作强化工程、管理体制机制改革深化工程、办学保障条件优化工程，推动学校实现</w:t>
      </w:r>
      <w:r>
        <w:rPr>
          <w:rFonts w:hint="eastAsia" w:ascii="宋体" w:hAnsi="宋体" w:eastAsia="宋体" w:cs="宋体"/>
          <w:b/>
          <w:bCs w:val="0"/>
          <w:sz w:val="24"/>
          <w:szCs w:val="24"/>
          <w:lang w:eastAsia="zh-CN"/>
        </w:rPr>
        <w:t>“三大发展”</w:t>
      </w:r>
      <w:r>
        <w:rPr>
          <w:rFonts w:hint="eastAsia" w:ascii="宋体" w:hAnsi="宋体" w:eastAsia="宋体" w:cs="宋体"/>
          <w:bCs/>
          <w:sz w:val="24"/>
          <w:szCs w:val="24"/>
          <w:lang w:eastAsia="zh-CN"/>
        </w:rPr>
        <w:t>：质量发展、特色发展、创新发展。</w:t>
      </w:r>
    </w:p>
    <w:p>
      <w:pPr>
        <w:spacing w:line="24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近年来，</w:t>
      </w:r>
      <w:r>
        <w:rPr>
          <w:rFonts w:hint="eastAsia" w:ascii="宋体" w:hAnsi="宋体" w:eastAsia="宋体" w:cs="宋体"/>
          <w:bCs/>
          <w:sz w:val="24"/>
          <w:szCs w:val="24"/>
          <w:lang w:val="en-US" w:eastAsia="zh-CN"/>
        </w:rPr>
        <w:t>学校</w:t>
      </w:r>
      <w:r>
        <w:rPr>
          <w:rFonts w:hint="eastAsia" w:ascii="宋体" w:hAnsi="宋体" w:eastAsia="宋体" w:cs="宋体"/>
          <w:bCs/>
          <w:sz w:val="24"/>
          <w:szCs w:val="24"/>
          <w:lang w:eastAsia="zh-CN"/>
        </w:rPr>
        <w:t>紧紧抓住产教融合、校企合作的转型关键途径，全力推进创新创业教育的转型突破口，全校上下一心，用心、用力、用情、用智深化应用技术大学建设，</w:t>
      </w:r>
      <w:r>
        <w:rPr>
          <w:rFonts w:hint="eastAsia" w:ascii="宋体" w:hAnsi="宋体" w:eastAsia="宋体" w:cs="宋体"/>
          <w:bCs/>
          <w:sz w:val="24"/>
          <w:szCs w:val="24"/>
          <w:lang w:val="en-US" w:eastAsia="zh-CN"/>
        </w:rPr>
        <w:t>培育和凝练了特征显著的办学特色：与产业发展同向同行的应用型学科专业体系、利益共同体式的产教融合校企合作办学模式、创新创业能力驱动的人才培养模式、应用型与民办相吻合的办学体制机制，形成了应用技术大学“南宁学院模式”。</w:t>
      </w:r>
      <w:r>
        <w:rPr>
          <w:rFonts w:hint="eastAsia" w:ascii="宋体" w:hAnsi="宋体" w:eastAsia="宋体" w:cs="宋体"/>
          <w:bCs/>
          <w:sz w:val="24"/>
          <w:szCs w:val="24"/>
          <w:lang w:eastAsia="zh-CN"/>
        </w:rPr>
        <w:t>学校成熟的六种产教融合校企合作办学模式被《中国教育报》</w:t>
      </w:r>
      <w:r>
        <w:rPr>
          <w:rFonts w:hint="eastAsia" w:ascii="宋体" w:hAnsi="宋体" w:eastAsia="宋体" w:cs="宋体"/>
          <w:bCs/>
          <w:sz w:val="24"/>
          <w:szCs w:val="24"/>
          <w:highlight w:val="none"/>
          <w:lang w:eastAsia="zh-CN"/>
        </w:rPr>
        <w:t>通版</w:t>
      </w:r>
      <w:r>
        <w:rPr>
          <w:rFonts w:hint="eastAsia" w:ascii="宋体" w:hAnsi="宋体" w:eastAsia="宋体" w:cs="宋体"/>
          <w:bCs/>
          <w:sz w:val="24"/>
          <w:szCs w:val="24"/>
          <w:lang w:eastAsia="zh-CN"/>
        </w:rPr>
        <w:t>专题报道，教育部林蕙青副部长认为这些模式带来的协同育人成绩突出，教育部原李晓红副部长评价这些模式在校园内一次性解决了见习、实习、毕业设计的条件问题；中国教育报、人民网、中国教育新闻网、广西日报等媒体多次报道学校办学理念与办学特色，广西电视台评价南宁学院是转型发展的成功案例；学校先后荣获“全国民办院校先进集体”、“中国民办高等教育优秀院校”、“广西五一劳动奖状”等荣誉称号、连续五年获批“广西普通高校毕业生就业工作先进集体”；校友会2018中国民办大学排行榜中，南宁学院位居中国知名、区域一流民办大学行列。</w:t>
      </w:r>
    </w:p>
    <w:p>
      <w:pPr>
        <w:pStyle w:val="2"/>
        <w:ind w:firstLine="602" w:firstLineChars="200"/>
        <w:jc w:val="left"/>
        <w:rPr>
          <w:rFonts w:hint="eastAsia" w:ascii="黑体" w:hAnsi="黑体" w:eastAsia="黑体"/>
          <w:sz w:val="30"/>
          <w:szCs w:val="30"/>
        </w:rPr>
        <w:sectPr>
          <w:footerReference r:id="rId5" w:type="default"/>
          <w:pgSz w:w="11910" w:h="16840"/>
          <w:pgMar w:top="1400" w:right="1000" w:bottom="1160" w:left="1260" w:header="0" w:footer="964" w:gutter="0"/>
          <w:pgBorders>
            <w:top w:val="none" w:sz="0" w:space="0"/>
            <w:left w:val="none" w:sz="0" w:space="0"/>
            <w:bottom w:val="none" w:sz="0" w:space="0"/>
            <w:right w:val="none" w:sz="0" w:space="0"/>
          </w:pgBorders>
          <w:pgNumType w:start="1"/>
        </w:sectPr>
      </w:pPr>
      <w:bookmarkStart w:id="1" w:name="_Toc7475"/>
    </w:p>
    <w:p>
      <w:pPr>
        <w:pStyle w:val="2"/>
        <w:jc w:val="left"/>
      </w:pPr>
      <w:r>
        <w:rPr>
          <w:rFonts w:hint="eastAsia" w:ascii="黑体" w:hAnsi="黑体" w:eastAsia="黑体"/>
          <w:sz w:val="30"/>
          <w:szCs w:val="30"/>
        </w:rPr>
        <w:t>一、本科教育基本情况</w:t>
      </w:r>
      <w:bookmarkEnd w:id="1"/>
    </w:p>
    <w:p>
      <w:pPr>
        <w:pStyle w:val="3"/>
        <w:jc w:val="left"/>
        <w:rPr>
          <w:rFonts w:hint="eastAsia" w:eastAsia="黑体"/>
          <w:lang w:eastAsia="zh-CN"/>
        </w:rPr>
      </w:pPr>
      <w:bookmarkStart w:id="2" w:name="_Toc27267"/>
      <w:r>
        <w:rPr>
          <w:rFonts w:hint="eastAsia" w:ascii="黑体" w:hAnsi="黑体" w:eastAsia="黑体"/>
          <w:sz w:val="28"/>
          <w:szCs w:val="28"/>
        </w:rPr>
        <w:t>（一）</w:t>
      </w:r>
      <w:r>
        <w:rPr>
          <w:rFonts w:hint="eastAsia" w:ascii="黑体" w:hAnsi="黑体" w:eastAsia="黑体"/>
          <w:sz w:val="28"/>
          <w:szCs w:val="28"/>
          <w:lang w:eastAsia="zh-CN"/>
        </w:rPr>
        <w:t>本科人才培养目标和服务面向</w:t>
      </w:r>
      <w:bookmarkEnd w:id="2"/>
    </w:p>
    <w:p>
      <w:pPr>
        <w:spacing w:line="240" w:lineRule="auto"/>
        <w:ind w:firstLine="480" w:firstLineChars="200"/>
        <w:jc w:val="left"/>
        <w:rPr>
          <w:rFonts w:hint="eastAsia" w:ascii="宋体" w:hAnsi="宋体" w:eastAsia="宋体"/>
          <w:bCs/>
          <w:sz w:val="24"/>
          <w:szCs w:val="24"/>
        </w:rPr>
      </w:pPr>
      <w:r>
        <w:rPr>
          <w:rFonts w:hint="eastAsia" w:ascii="宋体" w:hAnsi="宋体" w:eastAsia="宋体"/>
          <w:bCs/>
          <w:sz w:val="24"/>
          <w:szCs w:val="24"/>
        </w:rPr>
        <w:t>人才培养目标定位：面向行业、产业和现代城市发展需要，培养“做人有品格、就业有本领、创业有能力、深造有基础，发展有后劲”的高素质应用型人才。</w:t>
      </w:r>
    </w:p>
    <w:p>
      <w:pPr>
        <w:spacing w:line="240" w:lineRule="auto"/>
        <w:ind w:firstLine="480" w:firstLineChars="200"/>
        <w:jc w:val="left"/>
        <w:rPr>
          <w:rFonts w:hint="eastAsia" w:ascii="宋体" w:hAnsi="宋体" w:eastAsia="宋体"/>
          <w:bCs/>
          <w:sz w:val="24"/>
          <w:szCs w:val="24"/>
        </w:rPr>
      </w:pPr>
      <w:r>
        <w:rPr>
          <w:rFonts w:hint="eastAsia" w:ascii="宋体" w:hAnsi="宋体" w:eastAsia="宋体"/>
          <w:bCs/>
          <w:sz w:val="24"/>
          <w:szCs w:val="24"/>
        </w:rPr>
        <w:t>服务面向定位：立足以南宁市为核心的北部湾城市群，服务行业企业，服务城市产业发展、经济建设和文化进步，服务国际交流与合作。</w:t>
      </w:r>
    </w:p>
    <w:p>
      <w:pPr>
        <w:spacing w:line="240" w:lineRule="auto"/>
        <w:ind w:firstLine="480" w:firstLineChars="200"/>
        <w:rPr>
          <w:rFonts w:ascii="宋体" w:hAnsi="宋体" w:eastAsia="宋体" w:cs="宋体"/>
          <w:bCs/>
          <w:sz w:val="24"/>
          <w:szCs w:val="24"/>
        </w:rPr>
      </w:pPr>
    </w:p>
    <w:p>
      <w:pPr>
        <w:pStyle w:val="3"/>
        <w:jc w:val="left"/>
      </w:pPr>
      <w:bookmarkStart w:id="3" w:name="_Toc13638"/>
      <w:r>
        <w:rPr>
          <w:rFonts w:hint="eastAsia" w:ascii="黑体" w:hAnsi="黑体" w:eastAsia="黑体"/>
          <w:sz w:val="28"/>
          <w:szCs w:val="28"/>
        </w:rPr>
        <w:t>（二）</w:t>
      </w:r>
      <w:r>
        <w:rPr>
          <w:rFonts w:hint="eastAsia" w:ascii="黑体" w:hAnsi="黑体" w:eastAsia="黑体"/>
          <w:sz w:val="28"/>
          <w:szCs w:val="28"/>
          <w:lang w:eastAsia="zh-CN"/>
        </w:rPr>
        <w:t>本科</w:t>
      </w:r>
      <w:r>
        <w:rPr>
          <w:rFonts w:hint="eastAsia" w:ascii="黑体" w:hAnsi="黑体" w:eastAsia="黑体"/>
          <w:sz w:val="28"/>
          <w:szCs w:val="28"/>
        </w:rPr>
        <w:t>专业设置情况</w:t>
      </w:r>
      <w:bookmarkEnd w:id="3"/>
    </w:p>
    <w:p>
      <w:pPr>
        <w:spacing w:line="240" w:lineRule="auto"/>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学校</w:t>
      </w:r>
      <w:r>
        <w:rPr>
          <w:rFonts w:hint="eastAsia" w:ascii="宋体" w:hAnsi="宋体" w:eastAsia="宋体"/>
          <w:color w:val="auto"/>
          <w:sz w:val="24"/>
          <w:szCs w:val="24"/>
          <w:lang w:eastAsia="zh-CN"/>
        </w:rPr>
        <w:t>现有</w:t>
      </w:r>
      <w:r>
        <w:rPr>
          <w:rFonts w:hint="eastAsia" w:ascii="宋体" w:hAnsi="宋体" w:eastAsia="宋体"/>
          <w:color w:val="auto"/>
          <w:sz w:val="24"/>
          <w:szCs w:val="24"/>
        </w:rPr>
        <w:t>本科专业25个，涵盖</w:t>
      </w:r>
      <w:r>
        <w:rPr>
          <w:rFonts w:hint="eastAsia" w:ascii="宋体" w:hAnsi="宋体" w:eastAsia="宋体"/>
          <w:bCs/>
          <w:sz w:val="24"/>
          <w:szCs w:val="24"/>
        </w:rPr>
        <w:t>工学、管理学、经济学、艺术学</w:t>
      </w:r>
      <w:r>
        <w:rPr>
          <w:rFonts w:hint="eastAsia" w:ascii="宋体" w:hAnsi="宋体" w:eastAsia="宋体"/>
          <w:color w:val="auto"/>
          <w:sz w:val="24"/>
          <w:szCs w:val="24"/>
        </w:rPr>
        <w:t>4个学科门类，</w:t>
      </w:r>
      <w:r>
        <w:rPr>
          <w:rFonts w:hint="eastAsia" w:ascii="宋体" w:hAnsi="宋体" w:eastAsia="宋体"/>
          <w:color w:val="auto"/>
          <w:sz w:val="24"/>
          <w:szCs w:val="24"/>
          <w:lang w:eastAsia="zh-CN"/>
        </w:rPr>
        <w:t>其中</w:t>
      </w:r>
      <w:r>
        <w:rPr>
          <w:rFonts w:hint="eastAsia" w:ascii="宋体" w:hAnsi="宋体" w:eastAsia="宋体"/>
          <w:color w:val="auto"/>
          <w:sz w:val="24"/>
          <w:szCs w:val="24"/>
        </w:rPr>
        <w:t>工学类专业15个占60%、经济学专业1个占4%、管理学专业6个占24%、艺术学专业3个占12%。</w:t>
      </w:r>
    </w:p>
    <w:p>
      <w:pPr>
        <w:spacing w:line="240" w:lineRule="auto"/>
        <w:ind w:firstLine="480" w:firstLineChars="20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drawing>
          <wp:inline distT="0" distB="0" distL="114300" distR="114300">
            <wp:extent cx="3870960" cy="2903220"/>
            <wp:effectExtent l="4445" t="4445" r="10795" b="1841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uto"/>
        <w:ind w:firstLine="482" w:firstLineChars="200"/>
        <w:jc w:val="center"/>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eastAsia="zh-CN"/>
        </w:rPr>
        <w:t>图</w:t>
      </w:r>
      <w:r>
        <w:rPr>
          <w:rFonts w:hint="eastAsia" w:ascii="宋体" w:hAnsi="宋体" w:eastAsia="宋体"/>
          <w:b/>
          <w:bCs/>
          <w:color w:val="auto"/>
          <w:sz w:val="24"/>
          <w:szCs w:val="24"/>
          <w:lang w:val="en-US" w:eastAsia="zh-CN"/>
        </w:rPr>
        <w:t>1  南宁学院学科专业分布图</w:t>
      </w:r>
    </w:p>
    <w:p>
      <w:pPr>
        <w:pStyle w:val="3"/>
        <w:jc w:val="left"/>
        <w:rPr>
          <w:rFonts w:hint="eastAsia" w:eastAsia="黑体"/>
          <w:lang w:eastAsia="zh-CN"/>
        </w:rPr>
      </w:pPr>
      <w:bookmarkStart w:id="4" w:name="_Toc13973"/>
      <w:r>
        <w:rPr>
          <w:rFonts w:hint="eastAsia" w:ascii="黑体" w:hAnsi="黑体" w:eastAsia="黑体"/>
          <w:sz w:val="28"/>
          <w:szCs w:val="28"/>
        </w:rPr>
        <w:t>（三）在校生</w:t>
      </w:r>
      <w:r>
        <w:rPr>
          <w:rFonts w:hint="eastAsia" w:ascii="黑体" w:hAnsi="黑体" w:eastAsia="黑体"/>
          <w:sz w:val="28"/>
          <w:szCs w:val="28"/>
          <w:lang w:eastAsia="zh-CN"/>
        </w:rPr>
        <w:t>情况</w:t>
      </w:r>
      <w:bookmarkEnd w:id="4"/>
    </w:p>
    <w:p>
      <w:pPr>
        <w:ind w:firstLine="480" w:firstLineChars="200"/>
        <w:jc w:val="left"/>
        <w:rPr>
          <w:rFonts w:hint="eastAsia" w:ascii="宋体" w:hAnsi="宋体" w:eastAsia="宋体"/>
          <w:sz w:val="24"/>
          <w:szCs w:val="24"/>
          <w:u w:val="none"/>
        </w:rPr>
      </w:pPr>
      <w:r>
        <w:rPr>
          <w:rFonts w:hint="eastAsia" w:ascii="宋体" w:hAnsi="宋体" w:eastAsia="宋体" w:cs="宋体"/>
          <w:bCs/>
          <w:sz w:val="24"/>
          <w:szCs w:val="24"/>
        </w:rPr>
        <w:t>学校坚持内涵发展</w:t>
      </w:r>
      <w:r>
        <w:rPr>
          <w:rFonts w:hint="eastAsia" w:ascii="宋体" w:hAnsi="宋体" w:eastAsia="宋体" w:cs="宋体"/>
          <w:bCs/>
          <w:sz w:val="24"/>
          <w:szCs w:val="24"/>
          <w:lang w:eastAsia="zh-CN"/>
        </w:rPr>
        <w:t>、</w:t>
      </w:r>
      <w:r>
        <w:rPr>
          <w:rFonts w:hint="eastAsia" w:ascii="宋体" w:hAnsi="宋体" w:eastAsia="宋体" w:cs="宋体"/>
          <w:bCs/>
          <w:sz w:val="24"/>
          <w:szCs w:val="24"/>
        </w:rPr>
        <w:t>质量为上，妥善处理质量、结构、规模之间的关系。</w:t>
      </w:r>
      <w:r>
        <w:rPr>
          <w:rFonts w:hint="eastAsia" w:ascii="宋体" w:hAnsi="宋体" w:eastAsia="宋体"/>
          <w:sz w:val="24"/>
          <w:szCs w:val="24"/>
          <w:u w:val="none"/>
          <w:lang w:eastAsia="zh-CN"/>
        </w:rPr>
        <w:t>目前</w:t>
      </w:r>
      <w:r>
        <w:rPr>
          <w:rFonts w:hint="eastAsia" w:eastAsia="宋体"/>
          <w:u w:val="none"/>
          <w:lang w:eastAsia="zh-CN"/>
        </w:rPr>
        <w:t>，</w:t>
      </w:r>
      <w:r>
        <w:rPr>
          <w:rFonts w:hint="eastAsia" w:ascii="宋体" w:hAnsi="宋体" w:eastAsia="宋体"/>
          <w:sz w:val="24"/>
          <w:szCs w:val="24"/>
          <w:u w:val="none"/>
        </w:rPr>
        <w:t>学校全日制在校生14415人，</w:t>
      </w:r>
      <w:r>
        <w:rPr>
          <w:rFonts w:hint="eastAsia" w:ascii="宋体" w:hAnsi="宋体" w:eastAsia="宋体" w:cs="宋体"/>
          <w:bCs/>
          <w:sz w:val="24"/>
          <w:szCs w:val="24"/>
        </w:rPr>
        <w:t>其中本科在校生</w:t>
      </w:r>
      <w:r>
        <w:rPr>
          <w:rFonts w:hint="eastAsia" w:ascii="宋体" w:hAnsi="宋体" w:eastAsia="宋体"/>
          <w:sz w:val="24"/>
          <w:szCs w:val="24"/>
          <w:u w:val="none"/>
          <w:lang w:val="en-US" w:eastAsia="zh-CN"/>
        </w:rPr>
        <w:t>11881</w:t>
      </w:r>
      <w:r>
        <w:rPr>
          <w:rFonts w:hint="eastAsia" w:ascii="宋体" w:hAnsi="宋体" w:eastAsia="宋体"/>
          <w:sz w:val="24"/>
          <w:szCs w:val="24"/>
          <w:u w:val="none"/>
        </w:rPr>
        <w:t>人</w:t>
      </w:r>
      <w:r>
        <w:rPr>
          <w:rFonts w:hint="eastAsia" w:ascii="宋体" w:hAnsi="宋体" w:eastAsia="宋体"/>
          <w:sz w:val="24"/>
          <w:szCs w:val="24"/>
          <w:u w:val="none"/>
          <w:lang w:eastAsia="zh-CN"/>
        </w:rPr>
        <w:t>，</w:t>
      </w:r>
      <w:r>
        <w:rPr>
          <w:rFonts w:hint="eastAsia" w:ascii="宋体" w:hAnsi="宋体" w:eastAsia="宋体"/>
          <w:sz w:val="24"/>
          <w:szCs w:val="24"/>
          <w:u w:val="none"/>
        </w:rPr>
        <w:t>本科生数占全日制在校生总数的比例为82.42%。</w:t>
      </w:r>
    </w:p>
    <w:p>
      <w:pPr>
        <w:pStyle w:val="3"/>
        <w:jc w:val="left"/>
        <w:rPr>
          <w:rFonts w:hint="eastAsia" w:ascii="黑体" w:hAnsi="黑体" w:eastAsia="黑体"/>
          <w:sz w:val="28"/>
          <w:szCs w:val="28"/>
          <w:u w:val="none"/>
        </w:rPr>
      </w:pPr>
      <w:bookmarkStart w:id="5" w:name="_Toc24785"/>
      <w:r>
        <w:rPr>
          <w:rFonts w:hint="eastAsia" w:ascii="黑体" w:hAnsi="黑体" w:eastAsia="黑体"/>
          <w:sz w:val="28"/>
          <w:szCs w:val="28"/>
        </w:rPr>
        <w:t>（</w:t>
      </w:r>
      <w:r>
        <w:rPr>
          <w:rFonts w:hint="eastAsia" w:ascii="黑体" w:hAnsi="黑体" w:eastAsia="黑体"/>
          <w:sz w:val="28"/>
          <w:szCs w:val="28"/>
          <w:u w:val="none"/>
        </w:rPr>
        <w:t>四）本科生生源质量</w:t>
      </w:r>
      <w:bookmarkEnd w:id="5"/>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2018年，</w:t>
      </w:r>
      <w:r>
        <w:rPr>
          <w:rFonts w:hint="eastAsia" w:ascii="宋体" w:hAnsi="宋体" w:eastAsia="宋体" w:cs="宋体"/>
          <w:sz w:val="24"/>
          <w:szCs w:val="24"/>
          <w:lang w:eastAsia="zh-CN"/>
        </w:rPr>
        <w:t>学校</w:t>
      </w:r>
      <w:r>
        <w:rPr>
          <w:rFonts w:hint="eastAsia" w:ascii="宋体" w:hAnsi="宋体" w:eastAsia="宋体" w:cs="宋体"/>
          <w:sz w:val="24"/>
          <w:szCs w:val="24"/>
        </w:rPr>
        <w:t>继续开展</w:t>
      </w:r>
      <w:r>
        <w:rPr>
          <w:rFonts w:hint="eastAsia" w:ascii="宋体" w:hAnsi="宋体" w:eastAsia="宋体" w:cs="宋体"/>
          <w:sz w:val="24"/>
          <w:szCs w:val="24"/>
          <w:lang w:eastAsia="zh-CN"/>
        </w:rPr>
        <w:t>多</w:t>
      </w:r>
      <w:r>
        <w:rPr>
          <w:rFonts w:hint="eastAsia" w:ascii="宋体" w:hAnsi="宋体" w:eastAsia="宋体" w:cs="宋体"/>
          <w:sz w:val="24"/>
          <w:szCs w:val="24"/>
        </w:rPr>
        <w:t>种形式并举的招生选拔录取工作，生源结构合理，生源质量稳步提升。</w:t>
      </w:r>
      <w:r>
        <w:rPr>
          <w:rFonts w:hint="eastAsia" w:asciiTheme="minorEastAsia" w:hAnsiTheme="minorEastAsia"/>
          <w:sz w:val="24"/>
          <w:szCs w:val="24"/>
        </w:rPr>
        <w:t>学校计划招生3550人，实际录取考生3550人，实际报到3110人。实际录取率为100%，实际报到率为87.61%。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sz w:val="24"/>
          <w:szCs w:val="24"/>
          <w:lang w:eastAsia="zh-CN"/>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Theme="minorEastAsia" w:hAnsiTheme="minorEastAsia"/>
          <w:sz w:val="24"/>
          <w:szCs w:val="24"/>
        </w:rPr>
        <w:t>学校面向全国15个</w:t>
      </w:r>
      <w:r>
        <w:rPr>
          <w:rFonts w:hint="eastAsia" w:asciiTheme="minorEastAsia" w:hAnsiTheme="minorEastAsia"/>
          <w:sz w:val="24"/>
          <w:szCs w:val="24"/>
          <w:lang w:eastAsia="zh-CN"/>
        </w:rPr>
        <w:t>省份</w:t>
      </w:r>
      <w:r>
        <w:rPr>
          <w:rFonts w:hint="eastAsia" w:asciiTheme="minorEastAsia" w:hAnsiTheme="minorEastAsia"/>
          <w:sz w:val="24"/>
          <w:szCs w:val="24"/>
        </w:rPr>
        <w:t>招生，</w:t>
      </w:r>
      <w:r>
        <w:rPr>
          <w:rFonts w:hint="eastAsia" w:asciiTheme="minorEastAsia" w:hAnsiTheme="minorEastAsia"/>
          <w:sz w:val="24"/>
          <w:szCs w:val="24"/>
          <w:lang w:eastAsia="zh-CN"/>
        </w:rPr>
        <w:t>招生计划</w:t>
      </w:r>
      <w:r>
        <w:rPr>
          <w:rFonts w:hint="eastAsia" w:asciiTheme="minorEastAsia" w:hAnsiTheme="minorEastAsia"/>
          <w:sz w:val="24"/>
          <w:szCs w:val="24"/>
          <w:lang w:val="en-US" w:eastAsia="zh-CN"/>
        </w:rPr>
        <w:t>3550人</w:t>
      </w:r>
      <w:r>
        <w:rPr>
          <w:rFonts w:hint="eastAsia" w:asciiTheme="minorEastAsia" w:hAnsiTheme="minorEastAsia"/>
          <w:sz w:val="24"/>
          <w:szCs w:val="24"/>
          <w:lang w:eastAsia="zh-CN"/>
        </w:rPr>
        <w:t>，实际入学</w:t>
      </w:r>
      <w:r>
        <w:rPr>
          <w:rFonts w:hint="eastAsia" w:asciiTheme="minorEastAsia" w:hAnsiTheme="minorEastAsia"/>
          <w:sz w:val="24"/>
          <w:szCs w:val="24"/>
          <w:lang w:val="en-US" w:eastAsia="zh-CN"/>
        </w:rPr>
        <w:t>3110人，大部分为广西区内生源</w:t>
      </w:r>
      <w:r>
        <w:rPr>
          <w:rFonts w:hint="eastAsia" w:asciiTheme="minorEastAsia" w:hAnsiTheme="minorEastAsia"/>
          <w:sz w:val="24"/>
          <w:szCs w:val="24"/>
        </w:rPr>
        <w:t>。</w:t>
      </w:r>
      <w:r>
        <w:rPr>
          <w:rFonts w:hint="eastAsia" w:ascii="宋体" w:hAnsi="宋体" w:eastAsia="宋体" w:cs="宋体"/>
          <w:sz w:val="24"/>
          <w:szCs w:val="24"/>
          <w:lang w:eastAsia="zh-CN"/>
        </w:rPr>
        <w:t>生源质量较高，</w:t>
      </w:r>
      <w:r>
        <w:rPr>
          <w:rFonts w:hint="eastAsia" w:ascii="宋体" w:hAnsi="宋体" w:eastAsia="宋体" w:cs="宋体"/>
          <w:sz w:val="24"/>
          <w:szCs w:val="24"/>
        </w:rPr>
        <w:t>录取分数均在该省最低投档分数线以上</w:t>
      </w:r>
      <w:r>
        <w:rPr>
          <w:rFonts w:hint="eastAsia" w:ascii="宋体" w:hAnsi="宋体" w:eastAsia="宋体" w:cs="宋体"/>
          <w:sz w:val="24"/>
          <w:szCs w:val="24"/>
          <w:lang w:eastAsia="zh-CN"/>
        </w:rPr>
        <w:t>，其中</w:t>
      </w:r>
      <w:r>
        <w:rPr>
          <w:rFonts w:hint="eastAsia" w:asciiTheme="minorEastAsia" w:hAnsiTheme="minorEastAsia"/>
          <w:sz w:val="24"/>
          <w:szCs w:val="24"/>
          <w:lang w:eastAsia="zh-CN"/>
        </w:rPr>
        <w:t>在广西</w:t>
      </w:r>
      <w:r>
        <w:rPr>
          <w:rFonts w:hint="eastAsia" w:ascii="宋体" w:hAnsi="宋体" w:eastAsia="宋体" w:cs="宋体"/>
          <w:sz w:val="24"/>
          <w:szCs w:val="24"/>
        </w:rPr>
        <w:t>区内本科</w:t>
      </w:r>
      <w:r>
        <w:rPr>
          <w:rFonts w:hint="eastAsia" w:cs="Times New Roman" w:asciiTheme="minorEastAsia" w:hAnsiTheme="minorEastAsia"/>
          <w:sz w:val="24"/>
          <w:szCs w:val="24"/>
        </w:rPr>
        <w:t>文史</w:t>
      </w:r>
      <w:r>
        <w:rPr>
          <w:rFonts w:hint="eastAsia" w:asciiTheme="minorEastAsia" w:hAnsiTheme="minorEastAsia"/>
          <w:sz w:val="24"/>
          <w:szCs w:val="24"/>
        </w:rPr>
        <w:t>类</w:t>
      </w:r>
      <w:r>
        <w:rPr>
          <w:rFonts w:hint="eastAsia" w:cs="Times New Roman" w:asciiTheme="minorEastAsia" w:hAnsiTheme="minorEastAsia"/>
          <w:sz w:val="24"/>
          <w:szCs w:val="24"/>
        </w:rPr>
        <w:t>422分，高出</w:t>
      </w:r>
      <w:r>
        <w:rPr>
          <w:rFonts w:hint="eastAsia" w:cs="Times New Roman" w:asciiTheme="minorEastAsia" w:hAnsiTheme="minorEastAsia"/>
          <w:sz w:val="24"/>
          <w:szCs w:val="24"/>
          <w:highlight w:val="none"/>
        </w:rPr>
        <w:t>区控线</w:t>
      </w:r>
      <w:r>
        <w:rPr>
          <w:rFonts w:hint="eastAsia" w:cs="Times New Roman" w:asciiTheme="minorEastAsia" w:hAnsiTheme="minorEastAsia"/>
          <w:sz w:val="24"/>
          <w:szCs w:val="24"/>
        </w:rPr>
        <w:t>19分；理工</w:t>
      </w:r>
      <w:r>
        <w:rPr>
          <w:rFonts w:hint="eastAsia" w:asciiTheme="minorEastAsia" w:hAnsiTheme="minorEastAsia"/>
          <w:sz w:val="24"/>
          <w:szCs w:val="24"/>
        </w:rPr>
        <w:t>类</w:t>
      </w:r>
      <w:r>
        <w:rPr>
          <w:rFonts w:hint="eastAsia" w:cs="Times New Roman" w:asciiTheme="minorEastAsia" w:hAnsiTheme="minorEastAsia"/>
          <w:sz w:val="24"/>
          <w:szCs w:val="24"/>
        </w:rPr>
        <w:t>360分，高出</w:t>
      </w:r>
      <w:r>
        <w:rPr>
          <w:rFonts w:hint="eastAsia" w:cs="Times New Roman" w:asciiTheme="minorEastAsia" w:hAnsiTheme="minorEastAsia"/>
          <w:sz w:val="24"/>
          <w:szCs w:val="24"/>
          <w:highlight w:val="none"/>
        </w:rPr>
        <w:t>区控线</w:t>
      </w:r>
      <w:r>
        <w:rPr>
          <w:rFonts w:hint="eastAsia" w:cs="Times New Roman" w:asciiTheme="minorEastAsia" w:hAnsiTheme="minorEastAsia"/>
          <w:sz w:val="24"/>
          <w:szCs w:val="24"/>
        </w:rPr>
        <w:t>15分；</w:t>
      </w:r>
      <w:r>
        <w:rPr>
          <w:rFonts w:hint="eastAsia" w:asciiTheme="minorEastAsia" w:hAnsiTheme="minorEastAsia"/>
          <w:sz w:val="24"/>
          <w:szCs w:val="24"/>
        </w:rPr>
        <w:t>文史+美术类518分（综合分），理工+美术类494分（综合分）</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sz w:val="24"/>
          <w:szCs w:val="24"/>
          <w:lang w:eastAsia="zh-CN"/>
        </w:rPr>
      </w:pPr>
    </w:p>
    <w:p>
      <w:pPr>
        <w:ind w:firstLine="0" w:firstLineChars="0"/>
        <w:jc w:val="center"/>
        <w:rPr>
          <w:rFonts w:hint="eastAsia" w:cs="Times New Roman" w:asciiTheme="minorEastAsia" w:hAnsiTheme="minorEastAsia"/>
          <w:b/>
          <w:bCs/>
          <w:sz w:val="24"/>
          <w:szCs w:val="24"/>
        </w:rPr>
      </w:pPr>
      <w:r>
        <w:rPr>
          <w:rFonts w:hint="eastAsia" w:ascii="宋体" w:hAnsi="宋体" w:eastAsia="宋体"/>
          <w:b/>
          <w:bCs/>
          <w:sz w:val="24"/>
          <w:szCs w:val="24"/>
        </w:rPr>
        <w:t>表</w:t>
      </w:r>
      <w:r>
        <w:rPr>
          <w:rFonts w:hint="eastAsia" w:ascii="宋体" w:hAnsi="宋体" w:eastAsia="宋体"/>
          <w:b/>
          <w:bCs/>
          <w:sz w:val="24"/>
          <w:szCs w:val="24"/>
          <w:lang w:val="en-US" w:eastAsia="zh-CN"/>
        </w:rPr>
        <w:t xml:space="preserve">1 </w:t>
      </w:r>
      <w:r>
        <w:rPr>
          <w:rFonts w:hint="eastAsia" w:ascii="宋体" w:hAnsi="宋体" w:eastAsia="宋体"/>
          <w:b/>
          <w:bCs/>
          <w:sz w:val="24"/>
          <w:szCs w:val="24"/>
        </w:rPr>
        <w:t xml:space="preserve"> </w:t>
      </w:r>
      <w:r>
        <w:rPr>
          <w:rFonts w:hint="eastAsia" w:ascii="宋体" w:hAnsi="宋体" w:eastAsia="宋体"/>
          <w:b/>
          <w:bCs/>
          <w:sz w:val="24"/>
          <w:szCs w:val="24"/>
          <w:lang w:eastAsia="zh-CN"/>
        </w:rPr>
        <w:t>南宁学院</w:t>
      </w:r>
      <w:r>
        <w:rPr>
          <w:rFonts w:hint="eastAsia" w:ascii="宋体" w:hAnsi="宋体" w:eastAsia="宋体"/>
          <w:b/>
          <w:bCs/>
          <w:sz w:val="24"/>
          <w:szCs w:val="24"/>
          <w:lang w:val="en-US" w:eastAsia="zh-CN"/>
        </w:rPr>
        <w:t>2018年本科生</w:t>
      </w:r>
      <w:r>
        <w:rPr>
          <w:rFonts w:hint="eastAsia" w:ascii="宋体" w:hAnsi="宋体" w:eastAsia="宋体"/>
          <w:b/>
          <w:bCs/>
          <w:sz w:val="24"/>
          <w:szCs w:val="24"/>
        </w:rPr>
        <w:t>各省录取平均分与批次最低控制线差值统计表</w:t>
      </w:r>
    </w:p>
    <w:tbl>
      <w:tblPr>
        <w:tblStyle w:val="15"/>
        <w:tblW w:w="8692" w:type="dxa"/>
        <w:jc w:val="center"/>
        <w:tblInd w:w="-44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8"/>
        <w:gridCol w:w="948"/>
        <w:gridCol w:w="645"/>
        <w:gridCol w:w="750"/>
        <w:gridCol w:w="750"/>
        <w:gridCol w:w="780"/>
        <w:gridCol w:w="765"/>
        <w:gridCol w:w="750"/>
        <w:gridCol w:w="750"/>
        <w:gridCol w:w="804"/>
        <w:gridCol w:w="6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tblHeader/>
          <w:jc w:val="center"/>
        </w:trPr>
        <w:tc>
          <w:tcPr>
            <w:tcW w:w="1108" w:type="dxa"/>
            <w:vMerge w:val="restart"/>
            <w:vAlign w:val="center"/>
          </w:tcPr>
          <w:p>
            <w:pPr>
              <w:jc w:val="center"/>
            </w:pPr>
            <w:r>
              <w:rPr>
                <w:rFonts w:hint="eastAsia" w:ascii="宋体" w:hAnsi="宋体" w:eastAsia="宋体"/>
                <w:b/>
                <w:sz w:val="18"/>
                <w:szCs w:val="18"/>
              </w:rPr>
              <w:t>省份</w:t>
            </w:r>
          </w:p>
        </w:tc>
        <w:tc>
          <w:tcPr>
            <w:tcW w:w="948" w:type="dxa"/>
            <w:vMerge w:val="restart"/>
            <w:vAlign w:val="center"/>
          </w:tcPr>
          <w:p>
            <w:pPr>
              <w:jc w:val="center"/>
            </w:pPr>
            <w:r>
              <w:rPr>
                <w:rFonts w:hint="eastAsia" w:ascii="宋体" w:hAnsi="宋体" w:eastAsia="宋体"/>
                <w:b/>
                <w:sz w:val="18"/>
                <w:szCs w:val="18"/>
              </w:rPr>
              <w:t>批次</w:t>
            </w:r>
          </w:p>
        </w:tc>
        <w:tc>
          <w:tcPr>
            <w:tcW w:w="2145" w:type="dxa"/>
            <w:gridSpan w:val="3"/>
            <w:vAlign w:val="center"/>
          </w:tcPr>
          <w:p>
            <w:pPr>
              <w:jc w:val="center"/>
            </w:pPr>
            <w:r>
              <w:rPr>
                <w:rFonts w:hint="eastAsia" w:ascii="宋体" w:hAnsi="宋体" w:eastAsia="宋体"/>
                <w:b/>
                <w:sz w:val="18"/>
                <w:szCs w:val="18"/>
              </w:rPr>
              <w:t>录取数</w:t>
            </w:r>
          </w:p>
        </w:tc>
        <w:tc>
          <w:tcPr>
            <w:tcW w:w="2295" w:type="dxa"/>
            <w:gridSpan w:val="3"/>
            <w:vAlign w:val="center"/>
          </w:tcPr>
          <w:p>
            <w:pPr>
              <w:jc w:val="center"/>
            </w:pPr>
            <w:r>
              <w:rPr>
                <w:rFonts w:hint="eastAsia" w:ascii="宋体" w:hAnsi="宋体" w:eastAsia="宋体"/>
                <w:b/>
                <w:sz w:val="18"/>
                <w:szCs w:val="18"/>
              </w:rPr>
              <w:t>批次最低控制线（分）</w:t>
            </w:r>
          </w:p>
        </w:tc>
        <w:tc>
          <w:tcPr>
            <w:tcW w:w="2196" w:type="dxa"/>
            <w:gridSpan w:val="3"/>
            <w:vAlign w:val="center"/>
          </w:tcPr>
          <w:p>
            <w:pPr>
              <w:jc w:val="center"/>
            </w:pPr>
            <w:r>
              <w:rPr>
                <w:rFonts w:hint="eastAsia" w:ascii="宋体" w:hAnsi="宋体" w:eastAsia="宋体"/>
                <w:b/>
                <w:sz w:val="18"/>
                <w:szCs w:val="18"/>
              </w:rPr>
              <w:t>当年录取平均分与批次最低控制线的差值（分）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tblHeader/>
          <w:jc w:val="center"/>
        </w:trPr>
        <w:tc>
          <w:tcPr>
            <w:tcW w:w="1108" w:type="dxa"/>
            <w:vMerge w:val="continue"/>
            <w:vAlign w:val="center"/>
          </w:tcPr>
          <w:p>
            <w:pPr>
              <w:jc w:val="center"/>
            </w:pPr>
          </w:p>
        </w:tc>
        <w:tc>
          <w:tcPr>
            <w:tcW w:w="948" w:type="dxa"/>
            <w:vMerge w:val="continue"/>
            <w:vAlign w:val="center"/>
          </w:tcPr>
          <w:p>
            <w:pPr>
              <w:jc w:val="center"/>
            </w:pPr>
          </w:p>
        </w:tc>
        <w:tc>
          <w:tcPr>
            <w:tcW w:w="645" w:type="dxa"/>
            <w:vAlign w:val="center"/>
          </w:tcPr>
          <w:p>
            <w:pPr>
              <w:jc w:val="center"/>
            </w:pPr>
            <w:r>
              <w:rPr>
                <w:rFonts w:hint="eastAsia" w:ascii="宋体" w:hAnsi="宋体" w:eastAsia="宋体"/>
                <w:b/>
                <w:sz w:val="18"/>
                <w:szCs w:val="18"/>
              </w:rPr>
              <w:t>文科</w:t>
            </w:r>
          </w:p>
        </w:tc>
        <w:tc>
          <w:tcPr>
            <w:tcW w:w="750" w:type="dxa"/>
            <w:vAlign w:val="center"/>
          </w:tcPr>
          <w:p>
            <w:pPr>
              <w:jc w:val="center"/>
            </w:pPr>
            <w:r>
              <w:rPr>
                <w:rFonts w:hint="eastAsia" w:ascii="宋体" w:hAnsi="宋体" w:eastAsia="宋体"/>
                <w:b/>
                <w:sz w:val="18"/>
                <w:szCs w:val="18"/>
              </w:rPr>
              <w:t>理科</w:t>
            </w:r>
          </w:p>
        </w:tc>
        <w:tc>
          <w:tcPr>
            <w:tcW w:w="750" w:type="dxa"/>
            <w:vAlign w:val="center"/>
          </w:tcPr>
          <w:p>
            <w:pPr>
              <w:jc w:val="center"/>
            </w:pPr>
            <w:r>
              <w:rPr>
                <w:rFonts w:hint="eastAsia" w:ascii="宋体" w:hAnsi="宋体" w:eastAsia="宋体"/>
                <w:b/>
                <w:sz w:val="18"/>
                <w:szCs w:val="18"/>
              </w:rPr>
              <w:t>不分文理</w:t>
            </w:r>
          </w:p>
        </w:tc>
        <w:tc>
          <w:tcPr>
            <w:tcW w:w="780" w:type="dxa"/>
            <w:vAlign w:val="center"/>
          </w:tcPr>
          <w:p>
            <w:pPr>
              <w:jc w:val="center"/>
            </w:pPr>
            <w:r>
              <w:rPr>
                <w:rFonts w:hint="eastAsia" w:ascii="宋体" w:hAnsi="宋体" w:eastAsia="宋体"/>
                <w:b/>
                <w:sz w:val="18"/>
                <w:szCs w:val="18"/>
              </w:rPr>
              <w:t>文科</w:t>
            </w:r>
          </w:p>
        </w:tc>
        <w:tc>
          <w:tcPr>
            <w:tcW w:w="765" w:type="dxa"/>
            <w:vAlign w:val="center"/>
          </w:tcPr>
          <w:p>
            <w:pPr>
              <w:jc w:val="center"/>
            </w:pPr>
            <w:r>
              <w:rPr>
                <w:rFonts w:hint="eastAsia" w:ascii="宋体" w:hAnsi="宋体" w:eastAsia="宋体"/>
                <w:b/>
                <w:sz w:val="18"/>
                <w:szCs w:val="18"/>
              </w:rPr>
              <w:t>理科</w:t>
            </w:r>
          </w:p>
        </w:tc>
        <w:tc>
          <w:tcPr>
            <w:tcW w:w="750" w:type="dxa"/>
            <w:vAlign w:val="center"/>
          </w:tcPr>
          <w:p>
            <w:pPr>
              <w:jc w:val="center"/>
            </w:pPr>
            <w:r>
              <w:rPr>
                <w:rFonts w:hint="eastAsia" w:ascii="宋体" w:hAnsi="宋体" w:eastAsia="宋体"/>
                <w:b/>
                <w:sz w:val="18"/>
                <w:szCs w:val="18"/>
              </w:rPr>
              <w:t>不分文理</w:t>
            </w:r>
          </w:p>
        </w:tc>
        <w:tc>
          <w:tcPr>
            <w:tcW w:w="750" w:type="dxa"/>
            <w:vAlign w:val="center"/>
          </w:tcPr>
          <w:p>
            <w:pPr>
              <w:jc w:val="center"/>
            </w:pPr>
            <w:r>
              <w:rPr>
                <w:rFonts w:hint="eastAsia" w:ascii="宋体" w:hAnsi="宋体" w:eastAsia="宋体"/>
                <w:b/>
                <w:sz w:val="18"/>
                <w:szCs w:val="18"/>
              </w:rPr>
              <w:t>文科</w:t>
            </w:r>
          </w:p>
        </w:tc>
        <w:tc>
          <w:tcPr>
            <w:tcW w:w="804" w:type="dxa"/>
            <w:vAlign w:val="center"/>
          </w:tcPr>
          <w:p>
            <w:pPr>
              <w:jc w:val="center"/>
            </w:pPr>
            <w:r>
              <w:rPr>
                <w:rFonts w:hint="eastAsia" w:ascii="宋体" w:hAnsi="宋体" w:eastAsia="宋体"/>
                <w:b/>
                <w:sz w:val="18"/>
                <w:szCs w:val="18"/>
              </w:rPr>
              <w:t>理科</w:t>
            </w:r>
          </w:p>
        </w:tc>
        <w:tc>
          <w:tcPr>
            <w:tcW w:w="642" w:type="dxa"/>
            <w:vAlign w:val="center"/>
          </w:tcPr>
          <w:p>
            <w:pPr>
              <w:jc w:val="center"/>
            </w:pPr>
            <w:r>
              <w:rPr>
                <w:rFonts w:hint="eastAsia" w:ascii="宋体" w:hAnsi="宋体" w:eastAsia="宋体"/>
                <w:b/>
                <w:sz w:val="18"/>
                <w:szCs w:val="18"/>
              </w:rPr>
              <w:t>不分文理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河北省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4</w:t>
            </w:r>
          </w:p>
        </w:tc>
        <w:tc>
          <w:tcPr>
            <w:tcW w:w="750" w:type="dxa"/>
            <w:vAlign w:val="center"/>
          </w:tcPr>
          <w:p>
            <w:pPr>
              <w:jc w:val="center"/>
            </w:pPr>
            <w:r>
              <w:rPr>
                <w:rFonts w:hint="eastAsia" w:ascii="宋体" w:hAnsi="宋体" w:eastAsia="宋体"/>
                <w:sz w:val="18"/>
                <w:szCs w:val="18"/>
              </w:rPr>
              <w:t>6</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441</w:t>
            </w:r>
          </w:p>
        </w:tc>
        <w:tc>
          <w:tcPr>
            <w:tcW w:w="765" w:type="dxa"/>
            <w:vAlign w:val="center"/>
          </w:tcPr>
          <w:p>
            <w:pPr>
              <w:jc w:val="center"/>
            </w:pPr>
            <w:r>
              <w:rPr>
                <w:rFonts w:hint="eastAsia" w:ascii="宋体" w:hAnsi="宋体" w:eastAsia="宋体"/>
                <w:sz w:val="18"/>
                <w:szCs w:val="18"/>
              </w:rPr>
              <w:t>358</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20.84</w:t>
            </w:r>
          </w:p>
        </w:tc>
        <w:tc>
          <w:tcPr>
            <w:tcW w:w="804" w:type="dxa"/>
            <w:vAlign w:val="center"/>
          </w:tcPr>
          <w:p>
            <w:pPr>
              <w:jc w:val="center"/>
            </w:pPr>
            <w:r>
              <w:rPr>
                <w:rFonts w:hint="eastAsia" w:ascii="宋体" w:hAnsi="宋体" w:eastAsia="宋体"/>
                <w:sz w:val="18"/>
                <w:szCs w:val="18"/>
              </w:rPr>
              <w:t>46.43</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江苏省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5</w:t>
            </w:r>
          </w:p>
        </w:tc>
        <w:tc>
          <w:tcPr>
            <w:tcW w:w="750" w:type="dxa"/>
            <w:vAlign w:val="center"/>
          </w:tcPr>
          <w:p>
            <w:pPr>
              <w:jc w:val="center"/>
            </w:pPr>
            <w:r>
              <w:rPr>
                <w:rFonts w:hint="eastAsia" w:ascii="宋体" w:hAnsi="宋体" w:eastAsia="宋体"/>
                <w:sz w:val="18"/>
                <w:szCs w:val="18"/>
              </w:rPr>
              <w:t>5</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281</w:t>
            </w:r>
          </w:p>
        </w:tc>
        <w:tc>
          <w:tcPr>
            <w:tcW w:w="765" w:type="dxa"/>
            <w:vAlign w:val="center"/>
          </w:tcPr>
          <w:p>
            <w:pPr>
              <w:jc w:val="center"/>
            </w:pPr>
            <w:r>
              <w:rPr>
                <w:rFonts w:hint="eastAsia" w:ascii="宋体" w:hAnsi="宋体" w:eastAsia="宋体"/>
                <w:sz w:val="18"/>
                <w:szCs w:val="18"/>
              </w:rPr>
              <w:t>285</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6.6</w:t>
            </w:r>
          </w:p>
        </w:tc>
        <w:tc>
          <w:tcPr>
            <w:tcW w:w="804" w:type="dxa"/>
            <w:vAlign w:val="center"/>
          </w:tcPr>
          <w:p>
            <w:pPr>
              <w:jc w:val="center"/>
            </w:pPr>
            <w:r>
              <w:rPr>
                <w:rFonts w:hint="eastAsia" w:ascii="宋体" w:hAnsi="宋体" w:eastAsia="宋体"/>
                <w:sz w:val="18"/>
                <w:szCs w:val="18"/>
              </w:rPr>
              <w:t>4</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安徽省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4</w:t>
            </w:r>
          </w:p>
        </w:tc>
        <w:tc>
          <w:tcPr>
            <w:tcW w:w="750" w:type="dxa"/>
            <w:vAlign w:val="center"/>
          </w:tcPr>
          <w:p>
            <w:pPr>
              <w:jc w:val="center"/>
            </w:pPr>
            <w:r>
              <w:rPr>
                <w:rFonts w:hint="eastAsia" w:ascii="宋体" w:hAnsi="宋体" w:eastAsia="宋体"/>
                <w:sz w:val="18"/>
                <w:szCs w:val="18"/>
              </w:rPr>
              <w:t>6</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482</w:t>
            </w:r>
          </w:p>
        </w:tc>
        <w:tc>
          <w:tcPr>
            <w:tcW w:w="765" w:type="dxa"/>
            <w:vAlign w:val="center"/>
          </w:tcPr>
          <w:p>
            <w:pPr>
              <w:jc w:val="center"/>
            </w:pPr>
            <w:r>
              <w:rPr>
                <w:rFonts w:hint="eastAsia" w:ascii="宋体" w:hAnsi="宋体" w:eastAsia="宋体"/>
                <w:sz w:val="18"/>
                <w:szCs w:val="18"/>
              </w:rPr>
              <w:t>432</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7.74</w:t>
            </w:r>
          </w:p>
        </w:tc>
        <w:tc>
          <w:tcPr>
            <w:tcW w:w="804" w:type="dxa"/>
            <w:vAlign w:val="center"/>
          </w:tcPr>
          <w:p>
            <w:pPr>
              <w:jc w:val="center"/>
            </w:pPr>
            <w:r>
              <w:rPr>
                <w:rFonts w:hint="eastAsia" w:ascii="宋体" w:hAnsi="宋体" w:eastAsia="宋体"/>
                <w:sz w:val="18"/>
                <w:szCs w:val="18"/>
              </w:rPr>
              <w:t>19</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福建省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7</w:t>
            </w:r>
          </w:p>
        </w:tc>
        <w:tc>
          <w:tcPr>
            <w:tcW w:w="750" w:type="dxa"/>
            <w:vAlign w:val="center"/>
          </w:tcPr>
          <w:p>
            <w:pPr>
              <w:jc w:val="center"/>
            </w:pPr>
            <w:r>
              <w:rPr>
                <w:rFonts w:hint="eastAsia" w:ascii="宋体" w:hAnsi="宋体" w:eastAsia="宋体"/>
                <w:sz w:val="18"/>
                <w:szCs w:val="18"/>
              </w:rPr>
              <w:t>8</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446</w:t>
            </w:r>
          </w:p>
        </w:tc>
        <w:tc>
          <w:tcPr>
            <w:tcW w:w="765" w:type="dxa"/>
            <w:vAlign w:val="center"/>
          </w:tcPr>
          <w:p>
            <w:pPr>
              <w:jc w:val="center"/>
            </w:pPr>
            <w:r>
              <w:rPr>
                <w:rFonts w:hint="eastAsia" w:ascii="宋体" w:hAnsi="宋体" w:eastAsia="宋体"/>
                <w:sz w:val="18"/>
                <w:szCs w:val="18"/>
              </w:rPr>
              <w:t>378</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34.12</w:t>
            </w:r>
          </w:p>
        </w:tc>
        <w:tc>
          <w:tcPr>
            <w:tcW w:w="804" w:type="dxa"/>
            <w:vAlign w:val="center"/>
          </w:tcPr>
          <w:p>
            <w:pPr>
              <w:jc w:val="center"/>
            </w:pPr>
            <w:r>
              <w:rPr>
                <w:rFonts w:hint="eastAsia" w:ascii="宋体" w:hAnsi="宋体" w:eastAsia="宋体"/>
                <w:sz w:val="18"/>
                <w:szCs w:val="18"/>
              </w:rPr>
              <w:t>32.05</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江西省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2</w:t>
            </w:r>
          </w:p>
        </w:tc>
        <w:tc>
          <w:tcPr>
            <w:tcW w:w="750" w:type="dxa"/>
            <w:vAlign w:val="center"/>
          </w:tcPr>
          <w:p>
            <w:pPr>
              <w:jc w:val="center"/>
            </w:pPr>
            <w:r>
              <w:rPr>
                <w:rFonts w:hint="eastAsia" w:ascii="宋体" w:hAnsi="宋体" w:eastAsia="宋体"/>
                <w:sz w:val="18"/>
                <w:szCs w:val="18"/>
              </w:rPr>
              <w:t>8</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495</w:t>
            </w:r>
          </w:p>
        </w:tc>
        <w:tc>
          <w:tcPr>
            <w:tcW w:w="765" w:type="dxa"/>
            <w:vAlign w:val="center"/>
          </w:tcPr>
          <w:p>
            <w:pPr>
              <w:jc w:val="center"/>
            </w:pPr>
            <w:r>
              <w:rPr>
                <w:rFonts w:hint="eastAsia" w:ascii="宋体" w:hAnsi="宋体" w:eastAsia="宋体"/>
                <w:sz w:val="18"/>
                <w:szCs w:val="18"/>
              </w:rPr>
              <w:t>447</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20.46</w:t>
            </w:r>
          </w:p>
        </w:tc>
        <w:tc>
          <w:tcPr>
            <w:tcW w:w="804" w:type="dxa"/>
            <w:vAlign w:val="center"/>
          </w:tcPr>
          <w:p>
            <w:pPr>
              <w:jc w:val="center"/>
            </w:pPr>
            <w:r>
              <w:rPr>
                <w:rFonts w:hint="eastAsia" w:ascii="宋体" w:hAnsi="宋体" w:eastAsia="宋体"/>
                <w:sz w:val="18"/>
                <w:szCs w:val="18"/>
              </w:rPr>
              <w:t>22.29</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河南省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2</w:t>
            </w:r>
          </w:p>
        </w:tc>
        <w:tc>
          <w:tcPr>
            <w:tcW w:w="750" w:type="dxa"/>
            <w:vAlign w:val="center"/>
          </w:tcPr>
          <w:p>
            <w:pPr>
              <w:jc w:val="center"/>
            </w:pPr>
            <w:r>
              <w:rPr>
                <w:rFonts w:hint="eastAsia" w:ascii="宋体" w:hAnsi="宋体" w:eastAsia="宋体"/>
                <w:sz w:val="18"/>
                <w:szCs w:val="18"/>
              </w:rPr>
              <w:t>13</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436</w:t>
            </w:r>
          </w:p>
        </w:tc>
        <w:tc>
          <w:tcPr>
            <w:tcW w:w="765" w:type="dxa"/>
            <w:vAlign w:val="center"/>
          </w:tcPr>
          <w:p>
            <w:pPr>
              <w:jc w:val="center"/>
            </w:pPr>
            <w:r>
              <w:rPr>
                <w:rFonts w:hint="eastAsia" w:ascii="宋体" w:hAnsi="宋体" w:eastAsia="宋体"/>
                <w:sz w:val="18"/>
                <w:szCs w:val="18"/>
              </w:rPr>
              <w:t>374</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19.59</w:t>
            </w:r>
          </w:p>
        </w:tc>
        <w:tc>
          <w:tcPr>
            <w:tcW w:w="804" w:type="dxa"/>
            <w:vAlign w:val="center"/>
          </w:tcPr>
          <w:p>
            <w:pPr>
              <w:jc w:val="center"/>
            </w:pPr>
            <w:r>
              <w:rPr>
                <w:rFonts w:hint="eastAsia" w:ascii="宋体" w:hAnsi="宋体" w:eastAsia="宋体"/>
                <w:sz w:val="18"/>
                <w:szCs w:val="18"/>
              </w:rPr>
              <w:t>44.47</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湖北省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2</w:t>
            </w:r>
          </w:p>
        </w:tc>
        <w:tc>
          <w:tcPr>
            <w:tcW w:w="750" w:type="dxa"/>
            <w:vAlign w:val="center"/>
          </w:tcPr>
          <w:p>
            <w:pPr>
              <w:jc w:val="center"/>
            </w:pPr>
            <w:r>
              <w:rPr>
                <w:rFonts w:hint="eastAsia" w:ascii="宋体" w:hAnsi="宋体" w:eastAsia="宋体"/>
                <w:sz w:val="18"/>
                <w:szCs w:val="18"/>
              </w:rPr>
              <w:t>8</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441</w:t>
            </w:r>
          </w:p>
        </w:tc>
        <w:tc>
          <w:tcPr>
            <w:tcW w:w="765" w:type="dxa"/>
            <w:vAlign w:val="center"/>
          </w:tcPr>
          <w:p>
            <w:pPr>
              <w:jc w:val="center"/>
            </w:pPr>
            <w:r>
              <w:rPr>
                <w:rFonts w:hint="eastAsia" w:ascii="宋体" w:hAnsi="宋体" w:eastAsia="宋体"/>
                <w:sz w:val="18"/>
                <w:szCs w:val="18"/>
              </w:rPr>
              <w:t>375</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62.1</w:t>
            </w:r>
          </w:p>
        </w:tc>
        <w:tc>
          <w:tcPr>
            <w:tcW w:w="804" w:type="dxa"/>
            <w:vAlign w:val="center"/>
          </w:tcPr>
          <w:p>
            <w:pPr>
              <w:jc w:val="center"/>
            </w:pPr>
            <w:r>
              <w:rPr>
                <w:rFonts w:hint="eastAsia" w:ascii="宋体" w:hAnsi="宋体" w:eastAsia="宋体"/>
                <w:sz w:val="18"/>
                <w:szCs w:val="18"/>
              </w:rPr>
              <w:t>37.22</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湖南省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2</w:t>
            </w:r>
          </w:p>
        </w:tc>
        <w:tc>
          <w:tcPr>
            <w:tcW w:w="750" w:type="dxa"/>
            <w:vAlign w:val="center"/>
          </w:tcPr>
          <w:p>
            <w:pPr>
              <w:jc w:val="center"/>
            </w:pPr>
            <w:r>
              <w:rPr>
                <w:rFonts w:hint="eastAsia" w:ascii="宋体" w:hAnsi="宋体" w:eastAsia="宋体"/>
                <w:sz w:val="18"/>
                <w:szCs w:val="18"/>
              </w:rPr>
              <w:t>8</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526</w:t>
            </w:r>
          </w:p>
        </w:tc>
        <w:tc>
          <w:tcPr>
            <w:tcW w:w="765" w:type="dxa"/>
            <w:vAlign w:val="center"/>
          </w:tcPr>
          <w:p>
            <w:pPr>
              <w:jc w:val="center"/>
            </w:pPr>
            <w:r>
              <w:rPr>
                <w:rFonts w:hint="eastAsia" w:ascii="宋体" w:hAnsi="宋体" w:eastAsia="宋体"/>
                <w:sz w:val="18"/>
                <w:szCs w:val="18"/>
              </w:rPr>
              <w:t>450</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17.6</w:t>
            </w:r>
          </w:p>
        </w:tc>
        <w:tc>
          <w:tcPr>
            <w:tcW w:w="804" w:type="dxa"/>
            <w:vAlign w:val="center"/>
          </w:tcPr>
          <w:p>
            <w:pPr>
              <w:jc w:val="center"/>
            </w:pPr>
            <w:r>
              <w:rPr>
                <w:rFonts w:hint="eastAsia" w:ascii="宋体" w:hAnsi="宋体" w:eastAsia="宋体"/>
                <w:sz w:val="18"/>
                <w:szCs w:val="18"/>
              </w:rPr>
              <w:t>15.85</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广东省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4</w:t>
            </w:r>
          </w:p>
        </w:tc>
        <w:tc>
          <w:tcPr>
            <w:tcW w:w="750" w:type="dxa"/>
            <w:vAlign w:val="center"/>
          </w:tcPr>
          <w:p>
            <w:pPr>
              <w:jc w:val="center"/>
            </w:pPr>
            <w:r>
              <w:rPr>
                <w:rFonts w:hint="eastAsia" w:ascii="宋体" w:hAnsi="宋体" w:eastAsia="宋体"/>
                <w:sz w:val="18"/>
                <w:szCs w:val="18"/>
              </w:rPr>
              <w:t>16</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443</w:t>
            </w:r>
          </w:p>
        </w:tc>
        <w:tc>
          <w:tcPr>
            <w:tcW w:w="765" w:type="dxa"/>
            <w:vAlign w:val="center"/>
          </w:tcPr>
          <w:p>
            <w:pPr>
              <w:jc w:val="center"/>
            </w:pPr>
            <w:r>
              <w:rPr>
                <w:rFonts w:hint="eastAsia" w:ascii="宋体" w:hAnsi="宋体" w:eastAsia="宋体"/>
                <w:sz w:val="18"/>
                <w:szCs w:val="18"/>
              </w:rPr>
              <w:t>376</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64.95</w:t>
            </w:r>
          </w:p>
        </w:tc>
        <w:tc>
          <w:tcPr>
            <w:tcW w:w="804" w:type="dxa"/>
            <w:vAlign w:val="center"/>
          </w:tcPr>
          <w:p>
            <w:pPr>
              <w:jc w:val="center"/>
            </w:pPr>
            <w:r>
              <w:rPr>
                <w:rFonts w:hint="eastAsia" w:ascii="宋体" w:hAnsi="宋体" w:eastAsia="宋体"/>
                <w:sz w:val="18"/>
                <w:szCs w:val="18"/>
              </w:rPr>
              <w:t>62.24</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91" w:hRule="atLeast"/>
          <w:jc w:val="center"/>
        </w:trPr>
        <w:tc>
          <w:tcPr>
            <w:tcW w:w="1108" w:type="dxa"/>
            <w:vAlign w:val="center"/>
          </w:tcPr>
          <w:p>
            <w:pPr>
              <w:jc w:val="center"/>
            </w:pPr>
            <w:r>
              <w:rPr>
                <w:rFonts w:hint="eastAsia" w:ascii="宋体" w:hAnsi="宋体" w:eastAsia="宋体"/>
                <w:sz w:val="18"/>
                <w:szCs w:val="18"/>
              </w:rPr>
              <w:t>广西壮族自治区</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707</w:t>
            </w:r>
          </w:p>
        </w:tc>
        <w:tc>
          <w:tcPr>
            <w:tcW w:w="750" w:type="dxa"/>
            <w:vAlign w:val="center"/>
          </w:tcPr>
          <w:p>
            <w:pPr>
              <w:jc w:val="center"/>
            </w:pPr>
            <w:r>
              <w:rPr>
                <w:rFonts w:hint="eastAsia" w:ascii="宋体" w:hAnsi="宋体" w:eastAsia="宋体"/>
                <w:sz w:val="18"/>
                <w:szCs w:val="18"/>
              </w:rPr>
              <w:t>2317</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403</w:t>
            </w:r>
          </w:p>
        </w:tc>
        <w:tc>
          <w:tcPr>
            <w:tcW w:w="765" w:type="dxa"/>
            <w:vAlign w:val="center"/>
          </w:tcPr>
          <w:p>
            <w:pPr>
              <w:jc w:val="center"/>
            </w:pPr>
            <w:r>
              <w:rPr>
                <w:rFonts w:hint="eastAsia" w:ascii="宋体" w:hAnsi="宋体" w:eastAsia="宋体"/>
                <w:sz w:val="18"/>
                <w:szCs w:val="18"/>
              </w:rPr>
              <w:t>345</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37.05</w:t>
            </w:r>
          </w:p>
        </w:tc>
        <w:tc>
          <w:tcPr>
            <w:tcW w:w="804" w:type="dxa"/>
            <w:vAlign w:val="center"/>
          </w:tcPr>
          <w:p>
            <w:pPr>
              <w:jc w:val="center"/>
            </w:pPr>
            <w:r>
              <w:rPr>
                <w:rFonts w:hint="eastAsia" w:ascii="宋体" w:hAnsi="宋体" w:eastAsia="宋体"/>
                <w:sz w:val="18"/>
                <w:szCs w:val="18"/>
              </w:rPr>
              <w:t>39.24</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海南省</w:t>
            </w:r>
          </w:p>
        </w:tc>
        <w:tc>
          <w:tcPr>
            <w:tcW w:w="948" w:type="dxa"/>
            <w:vAlign w:val="center"/>
          </w:tcPr>
          <w:p>
            <w:pPr>
              <w:jc w:val="center"/>
            </w:pPr>
            <w:r>
              <w:rPr>
                <w:rFonts w:hint="eastAsia" w:ascii="宋体" w:hAnsi="宋体" w:eastAsia="宋体"/>
                <w:sz w:val="18"/>
                <w:szCs w:val="18"/>
              </w:rPr>
              <w:t>第二批次招生B</w:t>
            </w:r>
          </w:p>
        </w:tc>
        <w:tc>
          <w:tcPr>
            <w:tcW w:w="645" w:type="dxa"/>
            <w:vAlign w:val="center"/>
          </w:tcPr>
          <w:p>
            <w:pPr>
              <w:jc w:val="center"/>
            </w:pPr>
            <w:r>
              <w:rPr>
                <w:rFonts w:hint="eastAsia" w:ascii="宋体" w:hAnsi="宋体" w:eastAsia="宋体"/>
                <w:sz w:val="18"/>
                <w:szCs w:val="18"/>
              </w:rPr>
              <w:t>15</w:t>
            </w:r>
          </w:p>
        </w:tc>
        <w:tc>
          <w:tcPr>
            <w:tcW w:w="750" w:type="dxa"/>
            <w:vAlign w:val="center"/>
          </w:tcPr>
          <w:p>
            <w:pPr>
              <w:jc w:val="center"/>
            </w:pPr>
            <w:r>
              <w:rPr>
                <w:rFonts w:hint="eastAsia" w:ascii="宋体" w:hAnsi="宋体" w:eastAsia="宋体"/>
                <w:sz w:val="18"/>
                <w:szCs w:val="18"/>
              </w:rPr>
              <w:t>17</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497</w:t>
            </w:r>
          </w:p>
        </w:tc>
        <w:tc>
          <w:tcPr>
            <w:tcW w:w="765" w:type="dxa"/>
            <w:vAlign w:val="center"/>
          </w:tcPr>
          <w:p>
            <w:pPr>
              <w:jc w:val="center"/>
            </w:pPr>
            <w:r>
              <w:rPr>
                <w:rFonts w:hint="eastAsia" w:ascii="宋体" w:hAnsi="宋体" w:eastAsia="宋体"/>
                <w:sz w:val="18"/>
                <w:szCs w:val="18"/>
              </w:rPr>
              <w:t>488</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86.05</w:t>
            </w:r>
          </w:p>
        </w:tc>
        <w:tc>
          <w:tcPr>
            <w:tcW w:w="804" w:type="dxa"/>
            <w:vAlign w:val="center"/>
          </w:tcPr>
          <w:p>
            <w:pPr>
              <w:jc w:val="center"/>
            </w:pPr>
            <w:r>
              <w:rPr>
                <w:rFonts w:hint="eastAsia" w:ascii="宋体" w:hAnsi="宋体" w:eastAsia="宋体"/>
                <w:sz w:val="18"/>
                <w:szCs w:val="18"/>
              </w:rPr>
              <w:t>52.48</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重庆市</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4</w:t>
            </w:r>
          </w:p>
        </w:tc>
        <w:tc>
          <w:tcPr>
            <w:tcW w:w="750" w:type="dxa"/>
            <w:vAlign w:val="center"/>
          </w:tcPr>
          <w:p>
            <w:pPr>
              <w:jc w:val="center"/>
            </w:pPr>
            <w:r>
              <w:rPr>
                <w:rFonts w:hint="eastAsia" w:ascii="宋体" w:hAnsi="宋体" w:eastAsia="宋体"/>
                <w:sz w:val="18"/>
                <w:szCs w:val="18"/>
              </w:rPr>
              <w:t>6</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434</w:t>
            </w:r>
          </w:p>
        </w:tc>
        <w:tc>
          <w:tcPr>
            <w:tcW w:w="765" w:type="dxa"/>
            <w:vAlign w:val="center"/>
          </w:tcPr>
          <w:p>
            <w:pPr>
              <w:jc w:val="center"/>
            </w:pPr>
            <w:r>
              <w:rPr>
                <w:rFonts w:hint="eastAsia" w:ascii="宋体" w:hAnsi="宋体" w:eastAsia="宋体"/>
                <w:sz w:val="18"/>
                <w:szCs w:val="18"/>
              </w:rPr>
              <w:t>428</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29.4</w:t>
            </w:r>
          </w:p>
        </w:tc>
        <w:tc>
          <w:tcPr>
            <w:tcW w:w="804" w:type="dxa"/>
            <w:vAlign w:val="center"/>
          </w:tcPr>
          <w:p>
            <w:pPr>
              <w:jc w:val="center"/>
            </w:pPr>
            <w:r>
              <w:rPr>
                <w:rFonts w:hint="eastAsia" w:ascii="宋体" w:hAnsi="宋体" w:eastAsia="宋体"/>
                <w:sz w:val="18"/>
                <w:szCs w:val="18"/>
              </w:rPr>
              <w:t>23.33</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四川省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2</w:t>
            </w:r>
          </w:p>
        </w:tc>
        <w:tc>
          <w:tcPr>
            <w:tcW w:w="750" w:type="dxa"/>
            <w:vAlign w:val="center"/>
          </w:tcPr>
          <w:p>
            <w:pPr>
              <w:jc w:val="center"/>
            </w:pPr>
            <w:r>
              <w:rPr>
                <w:rFonts w:hint="eastAsia" w:ascii="宋体" w:hAnsi="宋体" w:eastAsia="宋体"/>
                <w:sz w:val="18"/>
                <w:szCs w:val="18"/>
              </w:rPr>
              <w:t>12</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492</w:t>
            </w:r>
          </w:p>
        </w:tc>
        <w:tc>
          <w:tcPr>
            <w:tcW w:w="765" w:type="dxa"/>
            <w:vAlign w:val="center"/>
          </w:tcPr>
          <w:p>
            <w:pPr>
              <w:jc w:val="center"/>
            </w:pPr>
            <w:r>
              <w:rPr>
                <w:rFonts w:hint="eastAsia" w:ascii="宋体" w:hAnsi="宋体" w:eastAsia="宋体"/>
                <w:sz w:val="18"/>
                <w:szCs w:val="18"/>
              </w:rPr>
              <w:t>458</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21.59</w:t>
            </w:r>
          </w:p>
        </w:tc>
        <w:tc>
          <w:tcPr>
            <w:tcW w:w="804" w:type="dxa"/>
            <w:vAlign w:val="center"/>
          </w:tcPr>
          <w:p>
            <w:pPr>
              <w:jc w:val="center"/>
            </w:pPr>
            <w:r>
              <w:rPr>
                <w:rFonts w:hint="eastAsia" w:ascii="宋体" w:hAnsi="宋体" w:eastAsia="宋体"/>
                <w:sz w:val="18"/>
                <w:szCs w:val="18"/>
              </w:rPr>
              <w:t>36.02</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贵州省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4</w:t>
            </w:r>
          </w:p>
        </w:tc>
        <w:tc>
          <w:tcPr>
            <w:tcW w:w="750" w:type="dxa"/>
            <w:vAlign w:val="center"/>
          </w:tcPr>
          <w:p>
            <w:pPr>
              <w:jc w:val="center"/>
            </w:pPr>
            <w:r>
              <w:rPr>
                <w:rFonts w:hint="eastAsia" w:ascii="宋体" w:hAnsi="宋体" w:eastAsia="宋体"/>
                <w:sz w:val="18"/>
                <w:szCs w:val="18"/>
              </w:rPr>
              <w:t>6</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477</w:t>
            </w:r>
          </w:p>
        </w:tc>
        <w:tc>
          <w:tcPr>
            <w:tcW w:w="765" w:type="dxa"/>
            <w:vAlign w:val="center"/>
          </w:tcPr>
          <w:p>
            <w:pPr>
              <w:jc w:val="center"/>
            </w:pPr>
            <w:r>
              <w:rPr>
                <w:rFonts w:hint="eastAsia" w:ascii="宋体" w:hAnsi="宋体" w:eastAsia="宋体"/>
                <w:sz w:val="18"/>
                <w:szCs w:val="18"/>
              </w:rPr>
              <w:t>379</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44.84</w:t>
            </w:r>
          </w:p>
        </w:tc>
        <w:tc>
          <w:tcPr>
            <w:tcW w:w="804" w:type="dxa"/>
            <w:vAlign w:val="center"/>
          </w:tcPr>
          <w:p>
            <w:pPr>
              <w:jc w:val="center"/>
            </w:pPr>
            <w:r>
              <w:rPr>
                <w:rFonts w:hint="eastAsia" w:ascii="宋体" w:hAnsi="宋体" w:eastAsia="宋体"/>
                <w:sz w:val="18"/>
                <w:szCs w:val="18"/>
              </w:rPr>
              <w:t>41.75</w:t>
            </w:r>
          </w:p>
        </w:tc>
        <w:tc>
          <w:tcPr>
            <w:tcW w:w="642" w:type="dxa"/>
            <w:vAlign w:val="center"/>
          </w:tcPr>
          <w:p>
            <w:pPr>
              <w:jc w:val="center"/>
            </w:pPr>
            <w:r>
              <w:rPr>
                <w:rFonts w:hint="eastAsia" w:ascii="宋体" w:hAnsi="宋体" w:eastAsia="宋体"/>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108" w:type="dxa"/>
            <w:vAlign w:val="center"/>
          </w:tcPr>
          <w:p>
            <w:pPr>
              <w:jc w:val="center"/>
            </w:pPr>
            <w:r>
              <w:rPr>
                <w:rFonts w:hint="eastAsia" w:ascii="宋体" w:hAnsi="宋体" w:eastAsia="宋体"/>
                <w:sz w:val="18"/>
                <w:szCs w:val="18"/>
              </w:rPr>
              <w:t>云南省</w:t>
            </w:r>
          </w:p>
        </w:tc>
        <w:tc>
          <w:tcPr>
            <w:tcW w:w="948" w:type="dxa"/>
            <w:vAlign w:val="center"/>
          </w:tcPr>
          <w:p>
            <w:pPr>
              <w:jc w:val="center"/>
            </w:pPr>
            <w:r>
              <w:rPr>
                <w:rFonts w:hint="eastAsia" w:ascii="宋体" w:hAnsi="宋体" w:eastAsia="宋体"/>
                <w:sz w:val="18"/>
                <w:szCs w:val="18"/>
              </w:rPr>
              <w:t>第二批次招生A</w:t>
            </w:r>
          </w:p>
        </w:tc>
        <w:tc>
          <w:tcPr>
            <w:tcW w:w="645" w:type="dxa"/>
            <w:vAlign w:val="center"/>
          </w:tcPr>
          <w:p>
            <w:pPr>
              <w:jc w:val="center"/>
            </w:pPr>
            <w:r>
              <w:rPr>
                <w:rFonts w:hint="eastAsia" w:ascii="宋体" w:hAnsi="宋体" w:eastAsia="宋体"/>
                <w:sz w:val="18"/>
                <w:szCs w:val="18"/>
              </w:rPr>
              <w:t>4</w:t>
            </w:r>
          </w:p>
        </w:tc>
        <w:tc>
          <w:tcPr>
            <w:tcW w:w="750" w:type="dxa"/>
            <w:vAlign w:val="center"/>
          </w:tcPr>
          <w:p>
            <w:pPr>
              <w:jc w:val="center"/>
            </w:pPr>
            <w:r>
              <w:rPr>
                <w:rFonts w:hint="eastAsia" w:ascii="宋体" w:hAnsi="宋体" w:eastAsia="宋体"/>
                <w:sz w:val="18"/>
                <w:szCs w:val="18"/>
              </w:rPr>
              <w:t>6</w:t>
            </w:r>
          </w:p>
        </w:tc>
        <w:tc>
          <w:tcPr>
            <w:tcW w:w="750" w:type="dxa"/>
            <w:vAlign w:val="center"/>
          </w:tcPr>
          <w:p>
            <w:pPr>
              <w:jc w:val="center"/>
            </w:pPr>
            <w:r>
              <w:rPr>
                <w:rFonts w:hint="eastAsia" w:ascii="宋体" w:hAnsi="宋体" w:eastAsia="宋体"/>
                <w:sz w:val="18"/>
                <w:szCs w:val="18"/>
              </w:rPr>
              <w:t>0</w:t>
            </w:r>
          </w:p>
        </w:tc>
        <w:tc>
          <w:tcPr>
            <w:tcW w:w="780" w:type="dxa"/>
            <w:vAlign w:val="center"/>
          </w:tcPr>
          <w:p>
            <w:pPr>
              <w:jc w:val="center"/>
            </w:pPr>
            <w:r>
              <w:rPr>
                <w:rFonts w:hint="eastAsia" w:ascii="宋体" w:hAnsi="宋体" w:eastAsia="宋体"/>
                <w:sz w:val="18"/>
                <w:szCs w:val="18"/>
              </w:rPr>
              <w:t>490</w:t>
            </w:r>
          </w:p>
        </w:tc>
        <w:tc>
          <w:tcPr>
            <w:tcW w:w="765" w:type="dxa"/>
            <w:vAlign w:val="center"/>
          </w:tcPr>
          <w:p>
            <w:pPr>
              <w:jc w:val="center"/>
            </w:pPr>
            <w:r>
              <w:rPr>
                <w:rFonts w:hint="eastAsia" w:ascii="宋体" w:hAnsi="宋体" w:eastAsia="宋体"/>
                <w:sz w:val="18"/>
                <w:szCs w:val="18"/>
              </w:rPr>
              <w:t>430</w:t>
            </w:r>
          </w:p>
        </w:tc>
        <w:tc>
          <w:tcPr>
            <w:tcW w:w="750" w:type="dxa"/>
            <w:vAlign w:val="center"/>
          </w:tcPr>
          <w:p>
            <w:pPr>
              <w:jc w:val="center"/>
            </w:pPr>
            <w:r>
              <w:rPr>
                <w:rFonts w:hint="eastAsia" w:ascii="宋体" w:hAnsi="宋体" w:eastAsia="宋体"/>
                <w:sz w:val="18"/>
                <w:szCs w:val="18"/>
              </w:rPr>
              <w:t>0</w:t>
            </w:r>
          </w:p>
        </w:tc>
        <w:tc>
          <w:tcPr>
            <w:tcW w:w="750" w:type="dxa"/>
            <w:vAlign w:val="center"/>
          </w:tcPr>
          <w:p>
            <w:pPr>
              <w:jc w:val="center"/>
            </w:pPr>
            <w:r>
              <w:rPr>
                <w:rFonts w:hint="eastAsia" w:ascii="宋体" w:hAnsi="宋体" w:eastAsia="宋体"/>
                <w:sz w:val="18"/>
                <w:szCs w:val="18"/>
              </w:rPr>
              <w:t>23.24</w:t>
            </w:r>
          </w:p>
        </w:tc>
        <w:tc>
          <w:tcPr>
            <w:tcW w:w="804" w:type="dxa"/>
            <w:vAlign w:val="center"/>
          </w:tcPr>
          <w:p>
            <w:pPr>
              <w:jc w:val="center"/>
            </w:pPr>
            <w:r>
              <w:rPr>
                <w:rFonts w:hint="eastAsia" w:ascii="宋体" w:hAnsi="宋体" w:eastAsia="宋体"/>
                <w:sz w:val="18"/>
                <w:szCs w:val="18"/>
              </w:rPr>
              <w:t>6.7</w:t>
            </w:r>
          </w:p>
        </w:tc>
        <w:tc>
          <w:tcPr>
            <w:tcW w:w="642" w:type="dxa"/>
            <w:vAlign w:val="center"/>
          </w:tcPr>
          <w:p>
            <w:pPr>
              <w:jc w:val="center"/>
            </w:pPr>
            <w:r>
              <w:rPr>
                <w:rFonts w:hint="eastAsia" w:ascii="宋体" w:hAnsi="宋体" w:eastAsia="宋体"/>
                <w:sz w:val="18"/>
                <w:szCs w:val="18"/>
              </w:rPr>
              <w:t>--</w:t>
            </w:r>
          </w:p>
        </w:tc>
      </w:tr>
    </w:tbl>
    <w:p>
      <w:pPr>
        <w:jc w:val="center"/>
      </w:pPr>
    </w:p>
    <w:p>
      <w:pPr>
        <w:jc w:val="left"/>
      </w:pPr>
      <w:r>
        <w:br w:type="page"/>
      </w:r>
    </w:p>
    <w:p>
      <w:pPr>
        <w:pStyle w:val="2"/>
        <w:jc w:val="left"/>
      </w:pPr>
      <w:bookmarkStart w:id="6" w:name="_Toc7891"/>
      <w:r>
        <w:rPr>
          <w:rFonts w:hint="eastAsia" w:ascii="黑体" w:hAnsi="黑体" w:eastAsia="黑体"/>
          <w:sz w:val="28"/>
          <w:szCs w:val="28"/>
        </w:rPr>
        <w:t>二、师资与教学条件</w:t>
      </w:r>
      <w:bookmarkEnd w:id="6"/>
    </w:p>
    <w:p>
      <w:pPr>
        <w:pStyle w:val="3"/>
        <w:jc w:val="left"/>
        <w:rPr>
          <w:rFonts w:hint="eastAsia" w:eastAsia="黑体"/>
          <w:lang w:eastAsia="zh-CN"/>
        </w:rPr>
      </w:pPr>
      <w:bookmarkStart w:id="7" w:name="_Toc6422"/>
      <w:r>
        <w:rPr>
          <w:rFonts w:hint="eastAsia" w:ascii="黑体" w:hAnsi="黑体" w:eastAsia="黑体"/>
          <w:sz w:val="28"/>
          <w:szCs w:val="28"/>
        </w:rPr>
        <w:t>（一）师资队伍</w:t>
      </w:r>
      <w:r>
        <w:rPr>
          <w:rFonts w:hint="eastAsia" w:ascii="黑体" w:hAnsi="黑体" w:eastAsia="黑体"/>
          <w:sz w:val="28"/>
          <w:szCs w:val="28"/>
          <w:lang w:eastAsia="zh-CN"/>
        </w:rPr>
        <w:t>数量及结构</w:t>
      </w:r>
      <w:bookmarkEnd w:id="7"/>
    </w:p>
    <w:p>
      <w:pPr>
        <w:spacing w:line="24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学校重视师资队伍建设，</w:t>
      </w:r>
      <w:r>
        <w:rPr>
          <w:rFonts w:hint="eastAsia" w:ascii="宋体" w:hAnsi="宋体" w:eastAsia="宋体" w:cs="宋体"/>
          <w:bCs/>
          <w:sz w:val="24"/>
          <w:szCs w:val="24"/>
          <w:lang w:eastAsia="zh-CN"/>
        </w:rPr>
        <w:t>围绕学校办学定位，</w:t>
      </w:r>
      <w:r>
        <w:rPr>
          <w:rFonts w:hint="eastAsia" w:ascii="宋体" w:hAnsi="宋体" w:eastAsia="宋体" w:cs="宋体"/>
          <w:bCs/>
          <w:sz w:val="24"/>
          <w:szCs w:val="24"/>
        </w:rPr>
        <w:t>以学科为导向，</w:t>
      </w:r>
      <w:r>
        <w:rPr>
          <w:rFonts w:hint="eastAsia" w:ascii="宋体" w:hAnsi="宋体" w:eastAsia="宋体" w:cs="宋体"/>
          <w:bCs/>
          <w:sz w:val="24"/>
          <w:szCs w:val="24"/>
          <w:lang w:eastAsia="zh-CN"/>
        </w:rPr>
        <w:t>坚持引进与自培、专职与兼职的建设方针，把握教师引进、师资培养和师德建设的重要环节，</w:t>
      </w:r>
      <w:r>
        <w:rPr>
          <w:rFonts w:hint="eastAsia" w:ascii="宋体" w:hAnsi="宋体" w:eastAsia="宋体" w:cs="宋体"/>
          <w:bCs/>
          <w:sz w:val="24"/>
          <w:szCs w:val="24"/>
        </w:rPr>
        <w:t>不断加大对师资队伍的建设力度，</w:t>
      </w:r>
      <w:r>
        <w:rPr>
          <w:rFonts w:hint="eastAsia" w:ascii="宋体" w:hAnsi="宋体" w:eastAsia="宋体" w:cs="宋体"/>
          <w:bCs/>
          <w:sz w:val="24"/>
          <w:szCs w:val="24"/>
          <w:lang w:val="en-US" w:eastAsia="zh-CN"/>
        </w:rPr>
        <w:t>逐步建立结构相对合理、素质较高、相对稳定、数量基本满足的应用型师资，各专业教师分布基本合理，能较好保障学校本科办学。</w:t>
      </w:r>
    </w:p>
    <w:p>
      <w:pPr>
        <w:ind w:firstLine="480" w:firstLineChars="200"/>
        <w:jc w:val="left"/>
        <w:rPr>
          <w:rFonts w:hint="eastAsia" w:ascii="宋体" w:hAnsi="宋体" w:eastAsia="宋体"/>
          <w:sz w:val="24"/>
          <w:szCs w:val="24"/>
          <w:u w:val="none"/>
        </w:rPr>
      </w:pPr>
      <w:r>
        <w:rPr>
          <w:rFonts w:hint="eastAsia" w:ascii="宋体" w:hAnsi="宋体" w:eastAsia="宋体"/>
          <w:sz w:val="24"/>
          <w:szCs w:val="24"/>
          <w:u w:val="none"/>
          <w:lang w:val="en-US" w:eastAsia="zh-CN"/>
        </w:rPr>
        <w:t>2017-2018学年，</w:t>
      </w:r>
      <w:r>
        <w:rPr>
          <w:rFonts w:hint="eastAsia" w:ascii="宋体" w:hAnsi="宋体" w:eastAsia="宋体"/>
          <w:sz w:val="24"/>
          <w:szCs w:val="24"/>
          <w:u w:val="none"/>
        </w:rPr>
        <w:t>学校</w:t>
      </w:r>
      <w:r>
        <w:rPr>
          <w:rFonts w:hint="eastAsia" w:ascii="宋体" w:hAnsi="宋体" w:eastAsia="宋体"/>
          <w:sz w:val="24"/>
          <w:szCs w:val="24"/>
          <w:u w:val="none"/>
          <w:lang w:eastAsia="zh-CN"/>
        </w:rPr>
        <w:t>有</w:t>
      </w:r>
      <w:r>
        <w:rPr>
          <w:rFonts w:hint="eastAsia" w:ascii="宋体" w:hAnsi="宋体" w:eastAsia="宋体"/>
          <w:sz w:val="24"/>
          <w:szCs w:val="24"/>
          <w:u w:val="none"/>
        </w:rPr>
        <w:t>专任教师</w:t>
      </w:r>
      <w:r>
        <w:rPr>
          <w:rFonts w:hint="eastAsia" w:ascii="宋体" w:hAnsi="宋体" w:eastAsia="宋体"/>
          <w:sz w:val="24"/>
          <w:szCs w:val="24"/>
          <w:u w:val="none"/>
          <w:lang w:val="en-US" w:eastAsia="zh-CN"/>
        </w:rPr>
        <w:t>694</w:t>
      </w:r>
      <w:r>
        <w:rPr>
          <w:rFonts w:hint="eastAsia" w:ascii="宋体" w:hAnsi="宋体" w:eastAsia="宋体"/>
          <w:sz w:val="24"/>
          <w:szCs w:val="24"/>
          <w:u w:val="none"/>
        </w:rPr>
        <w:t>人，</w:t>
      </w:r>
      <w:r>
        <w:rPr>
          <w:rFonts w:hint="eastAsia" w:ascii="宋体" w:hAnsi="宋体" w:eastAsia="宋体"/>
          <w:sz w:val="24"/>
          <w:szCs w:val="24"/>
          <w:u w:val="none"/>
          <w:lang w:eastAsia="zh-CN"/>
        </w:rPr>
        <w:t>教师总数</w:t>
      </w:r>
      <w:r>
        <w:rPr>
          <w:rFonts w:hint="eastAsia" w:ascii="宋体" w:hAnsi="宋体" w:eastAsia="宋体"/>
          <w:sz w:val="24"/>
          <w:szCs w:val="24"/>
          <w:u w:val="none"/>
          <w:lang w:val="en-US" w:eastAsia="zh-CN"/>
        </w:rPr>
        <w:t>703人，</w:t>
      </w:r>
      <w:r>
        <w:rPr>
          <w:rFonts w:hint="eastAsia" w:ascii="宋体" w:hAnsi="宋体" w:eastAsia="宋体"/>
          <w:sz w:val="24"/>
          <w:szCs w:val="24"/>
          <w:u w:val="none"/>
        </w:rPr>
        <w:t>生师比为</w:t>
      </w:r>
      <w:r>
        <w:rPr>
          <w:rFonts w:hint="eastAsia" w:ascii="宋体" w:hAnsi="宋体" w:eastAsia="宋体"/>
          <w:sz w:val="24"/>
          <w:szCs w:val="24"/>
          <w:u w:val="none"/>
          <w:lang w:val="en-US" w:eastAsia="zh-CN"/>
        </w:rPr>
        <w:t>20.53：1</w:t>
      </w:r>
      <w:r>
        <w:rPr>
          <w:rFonts w:hint="eastAsia" w:ascii="宋体" w:hAnsi="宋体" w:eastAsia="宋体"/>
          <w:sz w:val="24"/>
          <w:szCs w:val="24"/>
          <w:u w:val="none"/>
        </w:rPr>
        <w:t>。专任教师中，具有高级职称的专任教师</w:t>
      </w:r>
      <w:r>
        <w:rPr>
          <w:rFonts w:hint="eastAsia" w:ascii="宋体" w:hAnsi="宋体" w:eastAsia="宋体"/>
          <w:sz w:val="24"/>
          <w:szCs w:val="24"/>
          <w:u w:val="none"/>
          <w:lang w:val="en-US" w:eastAsia="zh-CN"/>
        </w:rPr>
        <w:t>242</w:t>
      </w:r>
      <w:r>
        <w:rPr>
          <w:rFonts w:hint="eastAsia" w:ascii="宋体" w:hAnsi="宋体" w:eastAsia="宋体"/>
          <w:sz w:val="24"/>
          <w:szCs w:val="24"/>
          <w:u w:val="none"/>
        </w:rPr>
        <w:t>人，占专任教师的比例为</w:t>
      </w:r>
      <w:r>
        <w:rPr>
          <w:rFonts w:hint="eastAsia" w:ascii="宋体" w:hAnsi="宋体" w:eastAsia="宋体"/>
          <w:sz w:val="24"/>
          <w:szCs w:val="24"/>
          <w:u w:val="none"/>
          <w:lang w:val="en-US" w:eastAsia="zh-CN"/>
        </w:rPr>
        <w:t>34.87</w:t>
      </w:r>
      <w:r>
        <w:rPr>
          <w:rFonts w:hint="eastAsia" w:ascii="宋体" w:hAnsi="宋体" w:eastAsia="宋体"/>
          <w:sz w:val="24"/>
          <w:szCs w:val="24"/>
          <w:u w:val="none"/>
        </w:rPr>
        <w:t>%；具有研究生学位（硕士和博士）的专任教师</w:t>
      </w:r>
      <w:r>
        <w:rPr>
          <w:rFonts w:hint="eastAsia" w:ascii="宋体" w:hAnsi="宋体" w:eastAsia="宋体"/>
          <w:sz w:val="24"/>
          <w:szCs w:val="24"/>
          <w:u w:val="none"/>
          <w:lang w:val="en-US" w:eastAsia="zh-CN"/>
        </w:rPr>
        <w:t>382</w:t>
      </w:r>
      <w:r>
        <w:rPr>
          <w:rFonts w:hint="eastAsia" w:ascii="宋体" w:hAnsi="宋体" w:eastAsia="宋体"/>
          <w:sz w:val="24"/>
          <w:szCs w:val="24"/>
          <w:u w:val="none"/>
        </w:rPr>
        <w:t>人，占专任教师的比例为</w:t>
      </w:r>
      <w:r>
        <w:rPr>
          <w:rFonts w:hint="eastAsia" w:ascii="宋体" w:hAnsi="宋体" w:eastAsia="宋体"/>
          <w:sz w:val="24"/>
          <w:szCs w:val="24"/>
          <w:u w:val="none"/>
          <w:lang w:val="en-US" w:eastAsia="zh-CN"/>
        </w:rPr>
        <w:t>55.04</w:t>
      </w:r>
      <w:r>
        <w:rPr>
          <w:rFonts w:hint="eastAsia" w:ascii="宋体" w:hAnsi="宋体" w:eastAsia="宋体"/>
          <w:sz w:val="24"/>
          <w:szCs w:val="24"/>
          <w:u w:val="none"/>
        </w:rPr>
        <w:t>%。</w:t>
      </w:r>
      <w:r>
        <w:rPr>
          <w:rFonts w:hint="eastAsia" w:ascii="宋体" w:hAnsi="宋体" w:eastAsia="宋体"/>
          <w:sz w:val="24"/>
          <w:szCs w:val="24"/>
          <w:u w:val="none"/>
          <w:lang w:eastAsia="zh-CN"/>
        </w:rPr>
        <w:t>自有专任教师中，</w:t>
      </w:r>
      <w:r>
        <w:rPr>
          <w:rFonts w:hint="eastAsia" w:ascii="宋体" w:hAnsi="宋体" w:eastAsia="宋体"/>
          <w:sz w:val="24"/>
          <w:szCs w:val="24"/>
          <w:u w:val="none"/>
        </w:rPr>
        <w:t>“双师型”教师127人，占</w:t>
      </w:r>
      <w:r>
        <w:rPr>
          <w:rFonts w:hint="eastAsia" w:ascii="宋体" w:hAnsi="宋体" w:eastAsia="宋体"/>
          <w:sz w:val="24"/>
          <w:szCs w:val="24"/>
          <w:u w:val="none"/>
          <w:lang w:eastAsia="zh-CN"/>
        </w:rPr>
        <w:t>自有</w:t>
      </w:r>
      <w:r>
        <w:rPr>
          <w:rFonts w:hint="eastAsia" w:ascii="宋体" w:hAnsi="宋体" w:eastAsia="宋体"/>
          <w:sz w:val="24"/>
          <w:szCs w:val="24"/>
          <w:u w:val="none"/>
        </w:rPr>
        <w:t>专任教师的比例为30.9%。</w:t>
      </w:r>
    </w:p>
    <w:p>
      <w:pPr>
        <w:jc w:val="center"/>
        <w:rPr>
          <w:rFonts w:hint="eastAsia" w:ascii="宋体" w:hAnsi="宋体" w:eastAsia="宋体"/>
          <w:sz w:val="24"/>
          <w:szCs w:val="24"/>
        </w:rPr>
      </w:pPr>
    </w:p>
    <w:p>
      <w:pPr>
        <w:jc w:val="center"/>
        <w:rPr>
          <w:rFonts w:hint="eastAsia" w:eastAsia="宋体"/>
          <w:b/>
          <w:bCs/>
          <w:lang w:eastAsia="zh-CN"/>
        </w:rPr>
      </w:pPr>
      <w:r>
        <w:rPr>
          <w:rFonts w:hint="eastAsia" w:ascii="宋体" w:hAnsi="宋体" w:eastAsia="宋体"/>
          <w:b/>
          <w:bCs/>
          <w:sz w:val="24"/>
          <w:szCs w:val="24"/>
        </w:rPr>
        <w:t>表</w:t>
      </w:r>
      <w:r>
        <w:rPr>
          <w:rFonts w:hint="eastAsia" w:ascii="宋体" w:hAnsi="宋体" w:eastAsia="宋体"/>
          <w:b/>
          <w:bCs/>
          <w:sz w:val="24"/>
          <w:szCs w:val="24"/>
          <w:lang w:val="en-US" w:eastAsia="zh-CN"/>
        </w:rPr>
        <w:t xml:space="preserve">2 </w:t>
      </w:r>
      <w:r>
        <w:rPr>
          <w:rFonts w:hint="eastAsia" w:ascii="宋体" w:hAnsi="宋体" w:eastAsia="宋体"/>
          <w:b/>
          <w:bCs/>
          <w:sz w:val="24"/>
          <w:szCs w:val="24"/>
        </w:rPr>
        <w:t xml:space="preserve"> </w:t>
      </w:r>
      <w:r>
        <w:rPr>
          <w:rFonts w:hint="eastAsia" w:ascii="宋体" w:hAnsi="宋体" w:eastAsia="宋体"/>
          <w:b/>
          <w:bCs/>
          <w:sz w:val="24"/>
          <w:szCs w:val="24"/>
          <w:lang w:eastAsia="zh-CN"/>
        </w:rPr>
        <w:t>南宁学院专任教师数量与结构一览表</w:t>
      </w:r>
    </w:p>
    <w:p>
      <w:pPr>
        <w:jc w:val="left"/>
      </w:pPr>
    </w:p>
    <w:tbl>
      <w:tblPr>
        <w:tblStyle w:val="14"/>
        <w:tblW w:w="722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587"/>
        <w:gridCol w:w="1636"/>
        <w:gridCol w:w="192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366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教师数量（人）</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所占比例（%）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366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总计</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694</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职称</w:t>
            </w: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正高级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50</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其中教授</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33</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4.76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副高级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192</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27.67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其中副教授</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65</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9.37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321</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46.25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其中讲师</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202</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29.11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初级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26</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w:t>
            </w:r>
            <w:r>
              <w:rPr>
                <w:rFonts w:hint="eastAsia" w:ascii="宋体" w:hAnsi="宋体" w:eastAsia="宋体" w:cs="宋体"/>
                <w:b w:val="0"/>
                <w:bCs/>
                <w:i w:val="0"/>
                <w:color w:val="000000"/>
                <w:kern w:val="0"/>
                <w:sz w:val="18"/>
                <w:szCs w:val="18"/>
                <w:highlight w:val="none"/>
                <w:u w:val="none"/>
                <w:lang w:val="en-US" w:eastAsia="zh-CN" w:bidi="ar"/>
              </w:rPr>
              <w:t>中助教</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38.46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未评级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105</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15.13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最高学位</w:t>
            </w: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博士</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30</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硕士</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352</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50.72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学士</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280</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40.35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无学位</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32</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4.61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年龄</w:t>
            </w: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35岁及以下</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248</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36-45岁</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83</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11.96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46-55岁</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49</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7.06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56岁及以上</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31</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4.47</w:t>
            </w:r>
          </w:p>
        </w:tc>
      </w:tr>
    </w:tbl>
    <w:p>
      <w:pPr>
        <w:jc w:val="center"/>
      </w:pPr>
    </w:p>
    <w:p>
      <w:pPr>
        <w:pStyle w:val="3"/>
        <w:numPr>
          <w:numId w:val="0"/>
        </w:numPr>
        <w:jc w:val="left"/>
        <w:rPr>
          <w:rFonts w:hint="eastAsia" w:ascii="黑体" w:hAnsi="黑体" w:eastAsia="黑体"/>
          <w:sz w:val="28"/>
          <w:szCs w:val="28"/>
          <w:lang w:eastAsia="zh-CN"/>
        </w:rPr>
      </w:pPr>
      <w:bookmarkStart w:id="8" w:name="_Toc3620"/>
      <w:r>
        <w:rPr>
          <w:rFonts w:hint="eastAsia" w:ascii="黑体" w:hAnsi="黑体" w:eastAsia="黑体"/>
          <w:sz w:val="28"/>
          <w:szCs w:val="28"/>
          <w:lang w:eastAsia="zh-CN"/>
        </w:rPr>
        <w:t>（</w:t>
      </w:r>
      <w:r>
        <w:rPr>
          <w:rFonts w:hint="eastAsia" w:ascii="黑体" w:hAnsi="黑体" w:eastAsia="黑体"/>
          <w:sz w:val="28"/>
          <w:szCs w:val="28"/>
          <w:lang w:val="en-US" w:eastAsia="zh-CN"/>
        </w:rPr>
        <w:t>二</w:t>
      </w:r>
      <w:r>
        <w:rPr>
          <w:rFonts w:hint="eastAsia" w:ascii="黑体" w:hAnsi="黑体" w:eastAsia="黑体"/>
          <w:sz w:val="28"/>
          <w:szCs w:val="28"/>
          <w:lang w:eastAsia="zh-CN"/>
        </w:rPr>
        <w:t>）本科主讲教师情况</w:t>
      </w:r>
      <w:bookmarkEnd w:id="8"/>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为确保本科生课程授课质量，学校在教学第一线配备了学术水平较高，教学经验较丰富的教师、教授为本科生授课。</w:t>
      </w:r>
    </w:p>
    <w:p>
      <w:pPr>
        <w:ind w:firstLine="480" w:firstLineChars="200"/>
        <w:jc w:val="left"/>
        <w:rPr>
          <w:u w:val="none"/>
        </w:rPr>
      </w:pPr>
      <w:r>
        <w:rPr>
          <w:rFonts w:hint="eastAsia" w:ascii="宋体" w:hAnsi="宋体" w:eastAsia="宋体" w:cs="宋体"/>
          <w:bCs/>
          <w:sz w:val="24"/>
          <w:szCs w:val="24"/>
        </w:rPr>
        <w:t>201</w:t>
      </w:r>
      <w:r>
        <w:rPr>
          <w:rFonts w:hint="eastAsia" w:ascii="宋体" w:hAnsi="宋体" w:eastAsia="宋体" w:cs="宋体"/>
          <w:bCs/>
          <w:sz w:val="24"/>
          <w:szCs w:val="24"/>
          <w:lang w:val="en-US" w:eastAsia="zh-CN"/>
        </w:rPr>
        <w:t>7</w:t>
      </w:r>
      <w:r>
        <w:rPr>
          <w:rFonts w:hint="eastAsia" w:ascii="宋体" w:hAnsi="宋体" w:eastAsia="宋体" w:cs="宋体"/>
          <w:bCs/>
          <w:sz w:val="24"/>
          <w:szCs w:val="24"/>
        </w:rPr>
        <w:t>-201</w:t>
      </w:r>
      <w:r>
        <w:rPr>
          <w:rFonts w:hint="eastAsia" w:ascii="宋体" w:hAnsi="宋体" w:eastAsia="宋体" w:cs="宋体"/>
          <w:bCs/>
          <w:sz w:val="24"/>
          <w:szCs w:val="24"/>
          <w:lang w:val="en-US" w:eastAsia="zh-CN"/>
        </w:rPr>
        <w:t>8</w:t>
      </w:r>
      <w:r>
        <w:rPr>
          <w:rFonts w:hint="eastAsia" w:ascii="宋体" w:hAnsi="宋体" w:eastAsia="宋体" w:cs="宋体"/>
          <w:bCs/>
          <w:sz w:val="24"/>
          <w:szCs w:val="24"/>
        </w:rPr>
        <w:t>学年，</w:t>
      </w:r>
      <w:r>
        <w:rPr>
          <w:rFonts w:hint="eastAsia" w:ascii="宋体" w:hAnsi="宋体" w:eastAsia="宋体"/>
          <w:sz w:val="24"/>
          <w:szCs w:val="24"/>
          <w:u w:val="none"/>
        </w:rPr>
        <w:t>高级职称教师承担的课程</w:t>
      </w:r>
      <w:r>
        <w:rPr>
          <w:rFonts w:hint="eastAsia" w:ascii="宋体" w:hAnsi="宋体" w:eastAsia="宋体"/>
          <w:sz w:val="24"/>
          <w:szCs w:val="24"/>
          <w:u w:val="none"/>
          <w:lang w:eastAsia="zh-CN"/>
        </w:rPr>
        <w:t>共</w:t>
      </w:r>
      <w:r>
        <w:rPr>
          <w:rFonts w:hint="eastAsia" w:ascii="宋体" w:hAnsi="宋体" w:eastAsia="宋体"/>
          <w:sz w:val="24"/>
          <w:szCs w:val="24"/>
          <w:u w:val="none"/>
        </w:rPr>
        <w:t>224</w:t>
      </w:r>
      <w:r>
        <w:rPr>
          <w:rFonts w:hint="eastAsia" w:ascii="宋体" w:hAnsi="宋体" w:eastAsia="宋体"/>
          <w:sz w:val="24"/>
          <w:szCs w:val="24"/>
          <w:u w:val="none"/>
          <w:lang w:eastAsia="zh-CN"/>
        </w:rPr>
        <w:t>门</w:t>
      </w:r>
      <w:r>
        <w:rPr>
          <w:rFonts w:hint="eastAsia" w:ascii="宋体" w:hAnsi="宋体" w:eastAsia="宋体"/>
          <w:sz w:val="24"/>
          <w:szCs w:val="24"/>
          <w:u w:val="none"/>
        </w:rPr>
        <w:t>，占总课程门数的40.95%；课程门次数为786，占开课</w:t>
      </w:r>
      <w:r>
        <w:rPr>
          <w:rFonts w:hint="eastAsia" w:ascii="宋体" w:hAnsi="宋体" w:eastAsia="宋体"/>
          <w:sz w:val="24"/>
          <w:szCs w:val="24"/>
          <w:highlight w:val="none"/>
          <w:u w:val="none"/>
        </w:rPr>
        <w:t>总门次</w:t>
      </w:r>
      <w:r>
        <w:rPr>
          <w:rFonts w:hint="eastAsia" w:ascii="宋体" w:hAnsi="宋体" w:eastAsia="宋体"/>
          <w:sz w:val="24"/>
          <w:szCs w:val="24"/>
          <w:u w:val="none"/>
        </w:rPr>
        <w:t>的24.46%。</w:t>
      </w:r>
    </w:p>
    <w:p>
      <w:pPr>
        <w:ind w:firstLine="480" w:firstLineChars="200"/>
        <w:jc w:val="left"/>
        <w:rPr>
          <w:u w:val="none"/>
        </w:rPr>
      </w:pPr>
      <w:r>
        <w:rPr>
          <w:rFonts w:hint="eastAsia" w:ascii="宋体" w:hAnsi="宋体" w:eastAsia="宋体"/>
          <w:sz w:val="24"/>
          <w:szCs w:val="24"/>
          <w:u w:val="none"/>
        </w:rPr>
        <w:t>正高级职称教师承担的课程</w:t>
      </w:r>
      <w:r>
        <w:rPr>
          <w:rFonts w:hint="eastAsia" w:ascii="宋体" w:hAnsi="宋体" w:eastAsia="宋体"/>
          <w:sz w:val="24"/>
          <w:szCs w:val="24"/>
          <w:highlight w:val="none"/>
          <w:u w:val="none"/>
        </w:rPr>
        <w:t>门数为</w:t>
      </w:r>
      <w:r>
        <w:rPr>
          <w:rFonts w:hint="eastAsia" w:ascii="宋体" w:hAnsi="宋体" w:eastAsia="宋体"/>
          <w:sz w:val="24"/>
          <w:szCs w:val="24"/>
          <w:u w:val="none"/>
        </w:rPr>
        <w:t>42，占总课程门数的7.68%；课程门次数为144，占开课</w:t>
      </w:r>
      <w:r>
        <w:rPr>
          <w:rFonts w:hint="eastAsia" w:ascii="宋体" w:hAnsi="宋体" w:eastAsia="宋体"/>
          <w:sz w:val="24"/>
          <w:szCs w:val="24"/>
          <w:highlight w:val="none"/>
          <w:u w:val="none"/>
        </w:rPr>
        <w:t>总门次</w:t>
      </w:r>
      <w:r>
        <w:rPr>
          <w:rFonts w:hint="eastAsia" w:ascii="宋体" w:hAnsi="宋体" w:eastAsia="宋体"/>
          <w:sz w:val="24"/>
          <w:szCs w:val="24"/>
          <w:u w:val="none"/>
        </w:rPr>
        <w:t>的4.48%。其中教授职称教师承担的课程</w:t>
      </w:r>
      <w:r>
        <w:rPr>
          <w:rFonts w:hint="eastAsia" w:ascii="宋体" w:hAnsi="宋体" w:eastAsia="宋体"/>
          <w:sz w:val="24"/>
          <w:szCs w:val="24"/>
          <w:highlight w:val="none"/>
          <w:u w:val="none"/>
        </w:rPr>
        <w:t>门数为</w:t>
      </w:r>
      <w:r>
        <w:rPr>
          <w:rFonts w:hint="eastAsia" w:ascii="宋体" w:hAnsi="宋体" w:eastAsia="宋体"/>
          <w:sz w:val="24"/>
          <w:szCs w:val="24"/>
          <w:u w:val="none"/>
        </w:rPr>
        <w:t>33，占总课程门数的6.03%；课程门次数为109，占开课</w:t>
      </w:r>
      <w:r>
        <w:rPr>
          <w:rFonts w:hint="eastAsia" w:ascii="宋体" w:hAnsi="宋体" w:eastAsia="宋体"/>
          <w:sz w:val="24"/>
          <w:szCs w:val="24"/>
          <w:highlight w:val="none"/>
          <w:u w:val="none"/>
        </w:rPr>
        <w:t>总门次</w:t>
      </w:r>
      <w:r>
        <w:rPr>
          <w:rFonts w:hint="eastAsia" w:ascii="宋体" w:hAnsi="宋体" w:eastAsia="宋体"/>
          <w:sz w:val="24"/>
          <w:szCs w:val="24"/>
          <w:u w:val="none"/>
        </w:rPr>
        <w:t>的3.39%。</w:t>
      </w:r>
    </w:p>
    <w:p>
      <w:pPr>
        <w:ind w:firstLine="480" w:firstLineChars="200"/>
        <w:jc w:val="left"/>
        <w:rPr>
          <w:u w:val="none"/>
        </w:rPr>
      </w:pPr>
      <w:r>
        <w:rPr>
          <w:rFonts w:hint="eastAsia" w:ascii="宋体" w:hAnsi="宋体" w:eastAsia="宋体"/>
          <w:sz w:val="24"/>
          <w:szCs w:val="24"/>
          <w:u w:val="none"/>
        </w:rPr>
        <w:t>副高级职称教师承担的课程</w:t>
      </w:r>
      <w:r>
        <w:rPr>
          <w:rFonts w:hint="eastAsia" w:ascii="宋体" w:hAnsi="宋体" w:eastAsia="宋体"/>
          <w:sz w:val="24"/>
          <w:szCs w:val="24"/>
          <w:highlight w:val="none"/>
          <w:u w:val="none"/>
        </w:rPr>
        <w:t>门数为</w:t>
      </w:r>
      <w:r>
        <w:rPr>
          <w:rFonts w:hint="eastAsia" w:ascii="宋体" w:hAnsi="宋体" w:eastAsia="宋体"/>
          <w:sz w:val="24"/>
          <w:szCs w:val="24"/>
          <w:u w:val="none"/>
        </w:rPr>
        <w:t>199，占总课程门数的36.38%；课程门次数为645，占开课</w:t>
      </w:r>
      <w:r>
        <w:rPr>
          <w:rFonts w:hint="eastAsia" w:ascii="宋体" w:hAnsi="宋体" w:eastAsia="宋体"/>
          <w:sz w:val="24"/>
          <w:szCs w:val="24"/>
          <w:highlight w:val="none"/>
          <w:u w:val="none"/>
        </w:rPr>
        <w:t>总门次</w:t>
      </w:r>
      <w:r>
        <w:rPr>
          <w:rFonts w:hint="eastAsia" w:ascii="宋体" w:hAnsi="宋体" w:eastAsia="宋体"/>
          <w:sz w:val="24"/>
          <w:szCs w:val="24"/>
          <w:u w:val="none"/>
        </w:rPr>
        <w:t>的20.07%。其中副教授职称教师承担的课程</w:t>
      </w:r>
      <w:r>
        <w:rPr>
          <w:rFonts w:hint="eastAsia" w:ascii="宋体" w:hAnsi="宋体" w:eastAsia="宋体"/>
          <w:sz w:val="24"/>
          <w:szCs w:val="24"/>
          <w:highlight w:val="none"/>
          <w:u w:val="none"/>
        </w:rPr>
        <w:t>门数为</w:t>
      </w:r>
      <w:r>
        <w:rPr>
          <w:rFonts w:hint="eastAsia" w:ascii="宋体" w:hAnsi="宋体" w:eastAsia="宋体"/>
          <w:sz w:val="24"/>
          <w:szCs w:val="24"/>
          <w:u w:val="none"/>
        </w:rPr>
        <w:t>78，占总课程门数的14.26%；课程门次数为268，占开课</w:t>
      </w:r>
      <w:r>
        <w:rPr>
          <w:rFonts w:hint="eastAsia" w:ascii="宋体" w:hAnsi="宋体" w:eastAsia="宋体"/>
          <w:sz w:val="24"/>
          <w:szCs w:val="24"/>
          <w:highlight w:val="none"/>
          <w:u w:val="none"/>
        </w:rPr>
        <w:t>总门次</w:t>
      </w:r>
      <w:r>
        <w:rPr>
          <w:rFonts w:hint="eastAsia" w:ascii="宋体" w:hAnsi="宋体" w:eastAsia="宋体"/>
          <w:sz w:val="24"/>
          <w:szCs w:val="24"/>
          <w:u w:val="none"/>
        </w:rPr>
        <w:t>的8.34%。</w:t>
      </w:r>
    </w:p>
    <w:p>
      <w:pPr>
        <w:pStyle w:val="3"/>
        <w:jc w:val="left"/>
      </w:pPr>
      <w:bookmarkStart w:id="9" w:name="_Toc16744"/>
      <w:r>
        <w:rPr>
          <w:rFonts w:hint="eastAsia" w:ascii="黑体" w:hAnsi="黑体" w:eastAsia="黑体"/>
          <w:sz w:val="28"/>
          <w:szCs w:val="28"/>
          <w:lang w:eastAsia="zh-CN"/>
        </w:rPr>
        <w:t>（三）</w:t>
      </w:r>
      <w:r>
        <w:rPr>
          <w:rFonts w:hint="eastAsia" w:ascii="黑体" w:hAnsi="黑体" w:eastAsia="黑体"/>
          <w:sz w:val="28"/>
          <w:szCs w:val="28"/>
        </w:rPr>
        <w:t>教学经费投入情况</w:t>
      </w:r>
      <w:bookmarkEnd w:id="9"/>
    </w:p>
    <w:p>
      <w:pPr>
        <w:ind w:firstLine="480" w:firstLineChars="200"/>
        <w:jc w:val="left"/>
        <w:rPr>
          <w:u w:val="none"/>
        </w:rPr>
      </w:pPr>
      <w:r>
        <w:rPr>
          <w:rFonts w:hint="eastAsia" w:ascii="宋体" w:hAnsi="宋体" w:eastAsia="宋体" w:cs="宋体"/>
          <w:bCs/>
          <w:sz w:val="24"/>
          <w:szCs w:val="24"/>
        </w:rPr>
        <w:t>为保证本科教学工作的正常进行和教学质量的稳步提升，学校坚持教学建设优先的理念，确保教学经费投入逐年增长。</w:t>
      </w:r>
      <w:r>
        <w:rPr>
          <w:rFonts w:hint="eastAsia" w:ascii="宋体" w:hAnsi="宋体" w:eastAsia="宋体"/>
          <w:sz w:val="24"/>
          <w:szCs w:val="24"/>
          <w:u w:val="none"/>
        </w:rPr>
        <w:t>2017年</w:t>
      </w:r>
      <w:r>
        <w:rPr>
          <w:rFonts w:hint="eastAsia" w:ascii="宋体" w:hAnsi="宋体" w:eastAsia="宋体"/>
          <w:sz w:val="24"/>
          <w:szCs w:val="24"/>
          <w:u w:val="none"/>
          <w:lang w:eastAsia="zh-CN"/>
        </w:rPr>
        <w:t>，学校</w:t>
      </w:r>
      <w:r>
        <w:rPr>
          <w:rFonts w:hint="eastAsia" w:ascii="宋体" w:hAnsi="宋体" w:eastAsia="宋体"/>
          <w:sz w:val="24"/>
          <w:szCs w:val="24"/>
          <w:u w:val="none"/>
        </w:rPr>
        <w:t>教学日常运行支出为2144.81万元，本科实验经费支出为365.77万元，本科实习经费支出为160.36万元。生均教学日常运行支出为1490.49元，生均本科实验经费为307.86元，生均实习经费为134.97元。</w:t>
      </w:r>
    </w:p>
    <w:p>
      <w:pPr>
        <w:jc w:val="left"/>
      </w:pPr>
    </w:p>
    <w:p>
      <w:pPr>
        <w:jc w:val="center"/>
      </w:pPr>
      <w:r>
        <w:drawing>
          <wp:inline distT="0" distB="0" distL="0" distR="0">
            <wp:extent cx="4818380" cy="2886075"/>
            <wp:effectExtent l="19050" t="0" r="9292" b="0"/>
            <wp:docPr id="7"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logo100.png"/>
                    <pic:cNvPicPr>
                      <a:picLocks noChangeAspect="1"/>
                    </pic:cNvPicPr>
                  </pic:nvPicPr>
                  <pic:blipFill>
                    <a:blip r:embed="rId12"/>
                    <a:stretch>
                      <a:fillRect/>
                    </a:stretch>
                  </pic:blipFill>
                  <pic:spPr>
                    <a:xfrm>
                      <a:off x="0" y="0"/>
                      <a:ext cx="4818380" cy="2886075"/>
                    </a:xfrm>
                    <a:prstGeom prst="rect">
                      <a:avLst/>
                    </a:prstGeom>
                  </pic:spPr>
                </pic:pic>
              </a:graphicData>
            </a:graphic>
          </wp:inline>
        </w:drawing>
      </w:r>
    </w:p>
    <w:p>
      <w:pPr>
        <w:jc w:val="center"/>
      </w:pPr>
      <w:r>
        <w:rPr>
          <w:rFonts w:hint="eastAsia" w:ascii="仿宋" w:hAnsi="仿宋" w:eastAsia="仿宋"/>
          <w:sz w:val="24"/>
          <w:szCs w:val="24"/>
        </w:rPr>
        <w:tab/>
      </w:r>
      <w:r>
        <w:rPr>
          <w:rFonts w:hint="eastAsia" w:ascii="仿宋" w:hAnsi="仿宋" w:eastAsia="仿宋"/>
          <w:sz w:val="24"/>
          <w:szCs w:val="24"/>
        </w:rPr>
        <w:tab/>
      </w:r>
      <w:r>
        <w:rPr>
          <w:rFonts w:hint="eastAsia" w:ascii="仿宋" w:hAnsi="仿宋" w:eastAsia="仿宋"/>
          <w:b/>
          <w:bCs/>
          <w:sz w:val="24"/>
          <w:szCs w:val="24"/>
        </w:rPr>
        <w:t>图</w:t>
      </w:r>
      <w:r>
        <w:rPr>
          <w:rFonts w:hint="eastAsia" w:ascii="仿宋" w:hAnsi="仿宋" w:eastAsia="仿宋"/>
          <w:b/>
          <w:bCs/>
          <w:sz w:val="24"/>
          <w:szCs w:val="24"/>
          <w:lang w:val="en-US" w:eastAsia="zh-CN"/>
        </w:rPr>
        <w:t xml:space="preserve">2 </w:t>
      </w:r>
      <w:r>
        <w:rPr>
          <w:rFonts w:hint="eastAsia" w:ascii="仿宋" w:hAnsi="仿宋" w:eastAsia="仿宋"/>
          <w:b/>
          <w:bCs/>
          <w:sz w:val="24"/>
          <w:szCs w:val="24"/>
        </w:rPr>
        <w:t xml:space="preserve">  近两年生均教学日常运行支出、生均实验经费、生均实习经费</w:t>
      </w:r>
    </w:p>
    <w:p>
      <w:pPr>
        <w:jc w:val="left"/>
      </w:pPr>
    </w:p>
    <w:p>
      <w:pPr>
        <w:pStyle w:val="3"/>
        <w:jc w:val="left"/>
      </w:pPr>
      <w:bookmarkStart w:id="10" w:name="_Toc30344"/>
      <w:r>
        <w:rPr>
          <w:rFonts w:hint="eastAsia" w:ascii="黑体" w:hAnsi="黑体" w:eastAsia="黑体"/>
          <w:sz w:val="28"/>
          <w:szCs w:val="28"/>
        </w:rPr>
        <w:t>（</w:t>
      </w:r>
      <w:r>
        <w:rPr>
          <w:rFonts w:hint="eastAsia" w:ascii="黑体" w:hAnsi="黑体" w:eastAsia="黑体"/>
          <w:sz w:val="28"/>
          <w:szCs w:val="28"/>
          <w:lang w:eastAsia="zh-CN"/>
        </w:rPr>
        <w:t>四</w:t>
      </w:r>
      <w:r>
        <w:rPr>
          <w:rFonts w:hint="eastAsia" w:ascii="黑体" w:hAnsi="黑体" w:eastAsia="黑体"/>
          <w:sz w:val="28"/>
          <w:szCs w:val="28"/>
        </w:rPr>
        <w:t>）教学设施</w:t>
      </w:r>
      <w:r>
        <w:rPr>
          <w:rFonts w:hint="eastAsia" w:ascii="黑体" w:hAnsi="黑体" w:eastAsia="黑体"/>
          <w:sz w:val="28"/>
          <w:szCs w:val="28"/>
          <w:lang w:eastAsia="zh-CN"/>
        </w:rPr>
        <w:t>及使用</w:t>
      </w:r>
      <w:r>
        <w:rPr>
          <w:rFonts w:hint="eastAsia" w:ascii="黑体" w:hAnsi="黑体" w:eastAsia="黑体"/>
          <w:sz w:val="28"/>
          <w:szCs w:val="28"/>
        </w:rPr>
        <w:t>情况</w:t>
      </w:r>
      <w:bookmarkEnd w:id="10"/>
    </w:p>
    <w:p>
      <w:pPr>
        <w:pStyle w:val="4"/>
        <w:jc w:val="left"/>
      </w:pPr>
      <w:bookmarkStart w:id="11" w:name="_Toc28474"/>
      <w:bookmarkStart w:id="12" w:name="_Toc6098"/>
      <w:r>
        <w:rPr>
          <w:rFonts w:hint="eastAsia" w:ascii="黑体" w:hAnsi="黑体" w:eastAsia="黑体"/>
          <w:sz w:val="28"/>
          <w:szCs w:val="28"/>
        </w:rPr>
        <w:t>1.教学</w:t>
      </w:r>
      <w:r>
        <w:rPr>
          <w:rFonts w:hint="eastAsia" w:ascii="黑体" w:hAnsi="黑体" w:eastAsia="黑体"/>
          <w:sz w:val="28"/>
          <w:szCs w:val="28"/>
          <w:lang w:eastAsia="zh-CN"/>
        </w:rPr>
        <w:t>科研及辅助</w:t>
      </w:r>
      <w:r>
        <w:rPr>
          <w:rFonts w:hint="eastAsia" w:ascii="黑体" w:hAnsi="黑体" w:eastAsia="黑体"/>
          <w:sz w:val="28"/>
          <w:szCs w:val="28"/>
        </w:rPr>
        <w:t>用房</w:t>
      </w:r>
      <w:bookmarkEnd w:id="11"/>
      <w:bookmarkEnd w:id="12"/>
    </w:p>
    <w:p>
      <w:pPr>
        <w:ind w:firstLine="480" w:firstLineChars="200"/>
        <w:jc w:val="both"/>
        <w:rPr>
          <w:rFonts w:hint="eastAsia" w:eastAsia="宋体"/>
          <w:lang w:eastAsia="zh-CN"/>
        </w:rPr>
      </w:pPr>
      <w:r>
        <w:rPr>
          <w:rFonts w:hint="eastAsia" w:ascii="宋体" w:hAnsi="宋体" w:eastAsia="宋体" w:cs="宋体"/>
          <w:bCs/>
          <w:sz w:val="24"/>
          <w:szCs w:val="24"/>
        </w:rPr>
        <w:t>学校用房数量充足，能有效满足学校教学需求，生均指标均达到国家标准。</w:t>
      </w:r>
      <w:r>
        <w:rPr>
          <w:rFonts w:hint="eastAsia" w:ascii="宋体" w:hAnsi="宋体" w:eastAsia="宋体"/>
          <w:sz w:val="24"/>
          <w:szCs w:val="24"/>
          <w:u w:val="none"/>
        </w:rPr>
        <w:t>学校</w:t>
      </w:r>
      <w:r>
        <w:rPr>
          <w:rFonts w:hint="eastAsia" w:ascii="宋体" w:hAnsi="宋体" w:eastAsia="宋体"/>
          <w:sz w:val="24"/>
          <w:szCs w:val="24"/>
          <w:u w:val="none"/>
          <w:lang w:eastAsia="zh-CN"/>
        </w:rPr>
        <w:t>校舍</w:t>
      </w:r>
      <w:r>
        <w:rPr>
          <w:rFonts w:hint="eastAsia" w:ascii="宋体" w:hAnsi="宋体" w:eastAsia="宋体"/>
          <w:sz w:val="24"/>
          <w:szCs w:val="24"/>
          <w:u w:val="none"/>
        </w:rPr>
        <w:t>建筑面积为428065.5</w:t>
      </w:r>
      <w:r>
        <w:rPr>
          <w:rFonts w:hint="eastAsia" w:ascii="宋体" w:hAnsi="宋体" w:eastAsia="宋体"/>
          <w:sz w:val="24"/>
          <w:szCs w:val="24"/>
          <w:u w:val="none"/>
          <w:lang w:val="en-US" w:eastAsia="zh-CN"/>
        </w:rPr>
        <w:t>2平方米，其中</w:t>
      </w:r>
      <w:r>
        <w:rPr>
          <w:rFonts w:hint="eastAsia" w:ascii="宋体" w:hAnsi="宋体" w:eastAsia="宋体"/>
          <w:sz w:val="24"/>
          <w:szCs w:val="24"/>
          <w:u w:val="none"/>
        </w:rPr>
        <w:t>教学行政用房面积共231527.24</w:t>
      </w:r>
      <w:r>
        <w:rPr>
          <w:rFonts w:hint="eastAsia" w:ascii="宋体" w:hAnsi="宋体" w:eastAsia="宋体"/>
          <w:sz w:val="24"/>
          <w:szCs w:val="24"/>
          <w:u w:val="none"/>
          <w:lang w:eastAsia="zh-CN"/>
        </w:rPr>
        <w:t>平方米，生均</w:t>
      </w:r>
      <w:r>
        <w:rPr>
          <w:rFonts w:hint="eastAsia" w:ascii="宋体" w:hAnsi="宋体" w:eastAsia="宋体"/>
          <w:sz w:val="24"/>
          <w:szCs w:val="24"/>
          <w:u w:val="none"/>
          <w:lang w:val="en-US" w:eastAsia="zh-CN"/>
        </w:rPr>
        <w:t>16.06平方米。</w:t>
      </w:r>
      <w:r>
        <w:rPr>
          <w:rFonts w:hint="eastAsia" w:ascii="宋体" w:hAnsi="宋体" w:eastAsia="宋体"/>
          <w:sz w:val="24"/>
          <w:szCs w:val="24"/>
          <w:u w:val="none"/>
        </w:rPr>
        <w:t>教室面积69122.44</w:t>
      </w:r>
      <w:r>
        <w:rPr>
          <w:rFonts w:hint="eastAsia" w:ascii="宋体" w:hAnsi="宋体" w:eastAsia="宋体"/>
          <w:sz w:val="24"/>
          <w:szCs w:val="24"/>
          <w:u w:val="none"/>
          <w:lang w:val="en-US" w:eastAsia="zh-CN"/>
        </w:rPr>
        <w:t>平方米</w:t>
      </w:r>
      <w:r>
        <w:rPr>
          <w:rFonts w:hint="eastAsia" w:ascii="宋体" w:hAnsi="宋体" w:eastAsia="宋体"/>
          <w:sz w:val="24"/>
          <w:szCs w:val="24"/>
          <w:u w:val="none"/>
        </w:rPr>
        <w:t>，实验室及实习场所面积75664.71</w:t>
      </w:r>
      <w:r>
        <w:rPr>
          <w:rFonts w:hint="eastAsia" w:ascii="宋体" w:hAnsi="宋体" w:eastAsia="宋体"/>
          <w:sz w:val="24"/>
          <w:szCs w:val="24"/>
          <w:u w:val="none"/>
          <w:lang w:val="en-US" w:eastAsia="zh-CN"/>
        </w:rPr>
        <w:t>平方米</w:t>
      </w:r>
      <w:r>
        <w:rPr>
          <w:rFonts w:hint="eastAsia" w:ascii="宋体" w:hAnsi="宋体" w:eastAsia="宋体"/>
          <w:sz w:val="24"/>
          <w:szCs w:val="24"/>
          <w:u w:val="none"/>
        </w:rPr>
        <w:t>，学生宿舍面积126326.67</w:t>
      </w:r>
      <w:r>
        <w:rPr>
          <w:rFonts w:hint="eastAsia" w:ascii="宋体" w:hAnsi="宋体" w:eastAsia="宋体"/>
          <w:sz w:val="24"/>
          <w:szCs w:val="24"/>
          <w:u w:val="none"/>
          <w:lang w:val="en-US" w:eastAsia="zh-CN"/>
        </w:rPr>
        <w:t>平方米</w:t>
      </w:r>
      <w:r>
        <w:rPr>
          <w:rFonts w:hint="eastAsia" w:ascii="宋体" w:hAnsi="宋体" w:eastAsia="宋体"/>
          <w:sz w:val="24"/>
          <w:szCs w:val="24"/>
          <w:u w:val="none"/>
        </w:rPr>
        <w:t>，体育馆面积14,592.89</w:t>
      </w:r>
      <w:r>
        <w:rPr>
          <w:rFonts w:hint="eastAsia" w:ascii="宋体" w:hAnsi="宋体" w:eastAsia="宋体"/>
          <w:sz w:val="24"/>
          <w:szCs w:val="24"/>
          <w:u w:val="none"/>
          <w:lang w:val="en-US" w:eastAsia="zh-CN"/>
        </w:rPr>
        <w:t>平方米</w:t>
      </w:r>
      <w:r>
        <w:rPr>
          <w:rFonts w:hint="eastAsia" w:ascii="宋体" w:hAnsi="宋体" w:eastAsia="宋体"/>
          <w:sz w:val="24"/>
          <w:szCs w:val="24"/>
          <w:u w:val="none"/>
        </w:rPr>
        <w:t>。</w:t>
      </w:r>
      <w:r>
        <w:rPr>
          <w:rFonts w:hint="eastAsia" w:ascii="宋体" w:hAnsi="宋体" w:eastAsia="宋体"/>
          <w:sz w:val="24"/>
          <w:szCs w:val="24"/>
          <w:u w:val="none"/>
          <w:lang w:eastAsia="zh-CN"/>
        </w:rPr>
        <w:t>各类用房充分满足本科办学需求。</w:t>
      </w:r>
    </w:p>
    <w:p>
      <w:pPr>
        <w:jc w:val="center"/>
        <w:rPr>
          <w:rFonts w:hint="eastAsia" w:ascii="宋体" w:hAnsi="宋体" w:eastAsia="宋体"/>
          <w:sz w:val="24"/>
          <w:szCs w:val="24"/>
          <w:lang w:val="en-US" w:eastAsia="zh-CN"/>
        </w:rP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b/>
          <w:bCs/>
          <w:sz w:val="24"/>
          <w:szCs w:val="24"/>
          <w:lang w:eastAsia="zh-CN"/>
        </w:rPr>
        <w:t>表</w:t>
      </w:r>
      <w:r>
        <w:rPr>
          <w:rFonts w:hint="eastAsia" w:ascii="宋体" w:hAnsi="宋体" w:eastAsia="宋体"/>
          <w:b/>
          <w:bCs/>
          <w:sz w:val="24"/>
          <w:szCs w:val="24"/>
          <w:lang w:val="en-US" w:eastAsia="zh-CN"/>
        </w:rPr>
        <w:t>3 南宁学院各类场地面积一览表</w:t>
      </w:r>
    </w:p>
    <w:tbl>
      <w:tblPr>
        <w:tblStyle w:val="15"/>
        <w:tblW w:w="6967" w:type="dxa"/>
        <w:jc w:val="center"/>
        <w:tblInd w:w="-70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51"/>
        <w:gridCol w:w="2610"/>
        <w:gridCol w:w="2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tblHeader/>
          <w:jc w:val="center"/>
        </w:trPr>
        <w:tc>
          <w:tcPr>
            <w:tcW w:w="1851" w:type="dxa"/>
            <w:vAlign w:val="center"/>
          </w:tcPr>
          <w:p>
            <w:pPr>
              <w:jc w:val="center"/>
            </w:pPr>
            <w:r>
              <w:rPr>
                <w:rFonts w:hint="eastAsia" w:ascii="宋体" w:hAnsi="宋体" w:eastAsia="宋体"/>
                <w:b/>
                <w:sz w:val="18"/>
                <w:szCs w:val="18"/>
              </w:rPr>
              <w:t>类别</w:t>
            </w:r>
          </w:p>
        </w:tc>
        <w:tc>
          <w:tcPr>
            <w:tcW w:w="2610" w:type="dxa"/>
            <w:vAlign w:val="center"/>
          </w:tcPr>
          <w:p>
            <w:pPr>
              <w:jc w:val="center"/>
            </w:pPr>
            <w:r>
              <w:rPr>
                <w:rFonts w:hint="eastAsia" w:ascii="宋体" w:hAnsi="宋体" w:eastAsia="宋体"/>
                <w:b/>
                <w:sz w:val="18"/>
                <w:szCs w:val="18"/>
              </w:rPr>
              <w:t>面积（平方米）</w:t>
            </w:r>
          </w:p>
        </w:tc>
        <w:tc>
          <w:tcPr>
            <w:tcW w:w="2506" w:type="dxa"/>
            <w:vAlign w:val="center"/>
          </w:tcPr>
          <w:p>
            <w:pPr>
              <w:jc w:val="center"/>
            </w:pPr>
            <w:r>
              <w:rPr>
                <w:rFonts w:hint="eastAsia" w:ascii="宋体" w:hAnsi="宋体" w:eastAsia="宋体"/>
                <w:b/>
                <w:sz w:val="18"/>
                <w:szCs w:val="18"/>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851" w:type="dxa"/>
            <w:vAlign w:val="center"/>
          </w:tcPr>
          <w:p>
            <w:pPr>
              <w:jc w:val="center"/>
            </w:pPr>
            <w:r>
              <w:rPr>
                <w:rFonts w:hint="eastAsia" w:ascii="宋体" w:hAnsi="宋体" w:eastAsia="宋体"/>
                <w:b/>
                <w:sz w:val="18"/>
                <w:szCs w:val="18"/>
              </w:rPr>
              <w:t>建筑面积</w:t>
            </w:r>
          </w:p>
        </w:tc>
        <w:tc>
          <w:tcPr>
            <w:tcW w:w="2610" w:type="dxa"/>
            <w:vAlign w:val="center"/>
          </w:tcPr>
          <w:p>
            <w:pPr>
              <w:jc w:val="center"/>
            </w:pPr>
            <w:r>
              <w:rPr>
                <w:rFonts w:hint="eastAsia" w:ascii="宋体" w:hAnsi="宋体" w:eastAsia="宋体"/>
                <w:sz w:val="18"/>
                <w:szCs w:val="18"/>
              </w:rPr>
              <w:t>428065.52</w:t>
            </w:r>
          </w:p>
        </w:tc>
        <w:tc>
          <w:tcPr>
            <w:tcW w:w="2506" w:type="dxa"/>
            <w:vAlign w:val="center"/>
          </w:tcPr>
          <w:p>
            <w:pPr>
              <w:jc w:val="center"/>
            </w:pPr>
            <w:r>
              <w:rPr>
                <w:rFonts w:hint="eastAsia" w:ascii="宋体" w:hAnsi="宋体" w:eastAsia="宋体"/>
                <w:sz w:val="18"/>
                <w:szCs w:val="18"/>
              </w:rPr>
              <w:t>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851" w:type="dxa"/>
            <w:vAlign w:val="center"/>
          </w:tcPr>
          <w:p>
            <w:pPr>
              <w:jc w:val="center"/>
            </w:pPr>
            <w:r>
              <w:rPr>
                <w:rFonts w:hint="eastAsia" w:ascii="宋体" w:hAnsi="宋体" w:eastAsia="宋体"/>
                <w:b/>
                <w:sz w:val="18"/>
                <w:szCs w:val="18"/>
              </w:rPr>
              <w:t>教学行政用房面积</w:t>
            </w:r>
          </w:p>
        </w:tc>
        <w:tc>
          <w:tcPr>
            <w:tcW w:w="2610" w:type="dxa"/>
            <w:vAlign w:val="center"/>
          </w:tcPr>
          <w:p>
            <w:pPr>
              <w:jc w:val="center"/>
            </w:pPr>
            <w:r>
              <w:rPr>
                <w:rFonts w:hint="eastAsia" w:ascii="宋体" w:hAnsi="宋体" w:eastAsia="宋体"/>
                <w:sz w:val="18"/>
                <w:szCs w:val="18"/>
              </w:rPr>
              <w:t>231527.24</w:t>
            </w:r>
          </w:p>
        </w:tc>
        <w:tc>
          <w:tcPr>
            <w:tcW w:w="2506" w:type="dxa"/>
            <w:vAlign w:val="center"/>
          </w:tcPr>
          <w:p>
            <w:pPr>
              <w:jc w:val="center"/>
            </w:pPr>
            <w:r>
              <w:rPr>
                <w:rFonts w:hint="eastAsia" w:ascii="宋体" w:hAnsi="宋体" w:eastAsia="宋体"/>
                <w:sz w:val="18"/>
                <w:szCs w:val="18"/>
              </w:rPr>
              <w:t>16.06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851" w:type="dxa"/>
            <w:vAlign w:val="center"/>
          </w:tcPr>
          <w:p>
            <w:pPr>
              <w:jc w:val="center"/>
            </w:pPr>
            <w:r>
              <w:rPr>
                <w:rFonts w:hint="eastAsia" w:ascii="宋体" w:hAnsi="宋体" w:eastAsia="宋体"/>
                <w:b/>
                <w:sz w:val="18"/>
                <w:szCs w:val="18"/>
              </w:rPr>
              <w:t>实验、实习场所面积</w:t>
            </w:r>
          </w:p>
        </w:tc>
        <w:tc>
          <w:tcPr>
            <w:tcW w:w="2610" w:type="dxa"/>
            <w:vAlign w:val="center"/>
          </w:tcPr>
          <w:p>
            <w:pPr>
              <w:jc w:val="center"/>
            </w:pPr>
            <w:r>
              <w:rPr>
                <w:rFonts w:hint="eastAsia" w:ascii="宋体" w:hAnsi="宋体" w:eastAsia="宋体"/>
                <w:sz w:val="18"/>
                <w:szCs w:val="18"/>
              </w:rPr>
              <w:t>75664.71</w:t>
            </w:r>
          </w:p>
        </w:tc>
        <w:tc>
          <w:tcPr>
            <w:tcW w:w="2506" w:type="dxa"/>
            <w:vAlign w:val="center"/>
          </w:tcPr>
          <w:p>
            <w:pPr>
              <w:jc w:val="center"/>
            </w:pPr>
            <w:r>
              <w:rPr>
                <w:rFonts w:hint="eastAsia" w:ascii="宋体" w:hAnsi="宋体" w:eastAsia="宋体"/>
                <w:sz w:val="18"/>
                <w:szCs w:val="18"/>
              </w:rPr>
              <w:t>5.25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851" w:type="dxa"/>
            <w:vAlign w:val="center"/>
          </w:tcPr>
          <w:p>
            <w:pPr>
              <w:jc w:val="center"/>
            </w:pPr>
            <w:r>
              <w:rPr>
                <w:rFonts w:hint="eastAsia" w:ascii="宋体" w:hAnsi="宋体" w:eastAsia="宋体"/>
                <w:b/>
                <w:sz w:val="18"/>
                <w:szCs w:val="18"/>
                <w:lang w:eastAsia="zh-CN"/>
              </w:rPr>
              <w:t>宿舍面积</w:t>
            </w:r>
          </w:p>
        </w:tc>
        <w:tc>
          <w:tcPr>
            <w:tcW w:w="2610" w:type="dxa"/>
            <w:vAlign w:val="center"/>
          </w:tcPr>
          <w:p>
            <w:pPr>
              <w:jc w:val="center"/>
            </w:pPr>
            <w:r>
              <w:rPr>
                <w:rFonts w:hint="eastAsia" w:ascii="宋体" w:hAnsi="宋体" w:eastAsia="宋体"/>
                <w:sz w:val="18"/>
                <w:szCs w:val="18"/>
                <w:lang w:val="en-US" w:eastAsia="zh-CN"/>
              </w:rPr>
              <w:t>126326.67</w:t>
            </w:r>
          </w:p>
        </w:tc>
        <w:tc>
          <w:tcPr>
            <w:tcW w:w="2506" w:type="dxa"/>
            <w:vAlign w:val="center"/>
          </w:tcPr>
          <w:p>
            <w:pPr>
              <w:jc w:val="center"/>
            </w:pPr>
            <w:r>
              <w:rPr>
                <w:rFonts w:hint="eastAsia" w:ascii="宋体" w:hAnsi="宋体" w:eastAsia="宋体"/>
                <w:sz w:val="18"/>
                <w:szCs w:val="18"/>
                <w:lang w:val="en-US" w:eastAsia="zh-CN"/>
              </w:rPr>
              <w:t>8.76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851" w:type="dxa"/>
            <w:vAlign w:val="center"/>
          </w:tcPr>
          <w:p>
            <w:pPr>
              <w:jc w:val="center"/>
              <w:rPr>
                <w:rFonts w:hint="eastAsia" w:ascii="宋体" w:hAnsi="宋体" w:eastAsia="宋体"/>
                <w:b/>
                <w:sz w:val="18"/>
                <w:szCs w:val="18"/>
                <w:lang w:eastAsia="zh-CN"/>
              </w:rPr>
            </w:pPr>
            <w:r>
              <w:rPr>
                <w:rFonts w:hint="eastAsia" w:ascii="宋体" w:hAnsi="宋体" w:eastAsia="宋体"/>
                <w:b/>
                <w:sz w:val="18"/>
                <w:szCs w:val="18"/>
              </w:rPr>
              <w:t>体育馆面积</w:t>
            </w:r>
          </w:p>
        </w:tc>
        <w:tc>
          <w:tcPr>
            <w:tcW w:w="2610"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rPr>
              <w:t>14592.89</w:t>
            </w:r>
          </w:p>
        </w:tc>
        <w:tc>
          <w:tcPr>
            <w:tcW w:w="2506"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1851" w:type="dxa"/>
            <w:vAlign w:val="center"/>
          </w:tcPr>
          <w:p>
            <w:pPr>
              <w:jc w:val="center"/>
              <w:rPr>
                <w:rFonts w:hint="eastAsia" w:ascii="宋体" w:hAnsi="宋体" w:eastAsia="宋体"/>
                <w:b/>
                <w:sz w:val="18"/>
                <w:szCs w:val="18"/>
                <w:lang w:eastAsia="zh-CN"/>
              </w:rPr>
            </w:pPr>
            <w:r>
              <w:rPr>
                <w:rFonts w:hint="eastAsia" w:ascii="宋体" w:hAnsi="宋体" w:eastAsia="宋体"/>
                <w:b/>
                <w:sz w:val="18"/>
                <w:szCs w:val="18"/>
                <w:lang w:eastAsia="zh-CN"/>
              </w:rPr>
              <w:t>运动场面积</w:t>
            </w:r>
          </w:p>
        </w:tc>
        <w:tc>
          <w:tcPr>
            <w:tcW w:w="2610"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50861.5</w:t>
            </w:r>
          </w:p>
        </w:tc>
        <w:tc>
          <w:tcPr>
            <w:tcW w:w="2506" w:type="dxa"/>
            <w:vAlign w:val="center"/>
          </w:tcPr>
          <w:p>
            <w:pPr>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3.53</w:t>
            </w:r>
          </w:p>
        </w:tc>
      </w:tr>
    </w:tbl>
    <w:p>
      <w:pPr>
        <w:pStyle w:val="4"/>
        <w:jc w:val="left"/>
      </w:pPr>
      <w:bookmarkStart w:id="13" w:name="_Toc11510"/>
      <w:bookmarkStart w:id="14" w:name="_Toc10660"/>
      <w:r>
        <w:rPr>
          <w:rFonts w:hint="eastAsia" w:ascii="黑体" w:hAnsi="黑体" w:eastAsia="黑体"/>
          <w:sz w:val="28"/>
          <w:szCs w:val="28"/>
        </w:rPr>
        <w:t>2.教学科研仪器设备</w:t>
      </w:r>
      <w:bookmarkEnd w:id="13"/>
      <w:bookmarkEnd w:id="14"/>
    </w:p>
    <w:p>
      <w:pPr>
        <w:ind w:firstLine="480" w:firstLineChars="200"/>
        <w:jc w:val="left"/>
        <w:rPr>
          <w:rFonts w:ascii="宋体" w:hAnsi="宋体" w:eastAsia="宋体"/>
          <w:sz w:val="24"/>
          <w:szCs w:val="24"/>
        </w:rPr>
      </w:pPr>
      <w:r>
        <w:rPr>
          <w:rFonts w:hint="eastAsia" w:ascii="宋体" w:hAnsi="宋体" w:eastAsia="宋体"/>
          <w:sz w:val="24"/>
          <w:szCs w:val="24"/>
        </w:rPr>
        <w:t>学校加大投入，不断提高实验室教学科研仪器设备数量与质量，</w:t>
      </w:r>
      <w:r>
        <w:rPr>
          <w:rFonts w:hint="eastAsia" w:ascii="宋体" w:hAnsi="宋体" w:eastAsia="宋体" w:cs="宋体"/>
          <w:bCs/>
          <w:sz w:val="24"/>
          <w:szCs w:val="24"/>
        </w:rPr>
        <w:t>截至201</w:t>
      </w:r>
      <w:r>
        <w:rPr>
          <w:rFonts w:hint="eastAsia" w:ascii="宋体" w:hAnsi="宋体" w:eastAsia="宋体" w:cs="宋体"/>
          <w:bCs/>
          <w:sz w:val="24"/>
          <w:szCs w:val="24"/>
          <w:lang w:val="en-US" w:eastAsia="zh-CN"/>
        </w:rPr>
        <w:t>8</w:t>
      </w:r>
      <w:r>
        <w:rPr>
          <w:rFonts w:hint="eastAsia" w:ascii="宋体" w:hAnsi="宋体" w:eastAsia="宋体" w:cs="宋体"/>
          <w:bCs/>
          <w:sz w:val="24"/>
          <w:szCs w:val="24"/>
        </w:rPr>
        <w:t>年，</w:t>
      </w:r>
      <w:r>
        <w:rPr>
          <w:rFonts w:hint="eastAsia" w:ascii="宋体" w:hAnsi="宋体" w:eastAsia="宋体" w:cs="宋体"/>
          <w:bCs/>
          <w:sz w:val="24"/>
          <w:szCs w:val="24"/>
          <w:lang w:eastAsia="zh-CN"/>
        </w:rPr>
        <w:t>学校</w:t>
      </w:r>
      <w:r>
        <w:rPr>
          <w:rFonts w:hint="eastAsia" w:ascii="宋体" w:hAnsi="宋体" w:eastAsia="宋体"/>
          <w:sz w:val="24"/>
          <w:szCs w:val="24"/>
        </w:rPr>
        <w:t>教学科研仪器设备总值</w:t>
      </w:r>
      <w:r>
        <w:rPr>
          <w:rFonts w:hint="eastAsia" w:ascii="宋体" w:hAnsi="宋体" w:eastAsia="宋体"/>
          <w:sz w:val="24"/>
          <w:szCs w:val="24"/>
          <w:lang w:eastAsia="zh-CN"/>
        </w:rPr>
        <w:t>为</w:t>
      </w:r>
      <w:r>
        <w:rPr>
          <w:rFonts w:hint="eastAsia" w:ascii="宋体" w:hAnsi="宋体" w:eastAsia="宋体"/>
          <w:sz w:val="24"/>
          <w:szCs w:val="24"/>
        </w:rPr>
        <w:t>11042.417万元，生均教学科研仪器设备值</w:t>
      </w:r>
      <w:r>
        <w:rPr>
          <w:rFonts w:hint="eastAsia" w:ascii="宋体" w:hAnsi="宋体" w:eastAsia="宋体"/>
          <w:sz w:val="24"/>
          <w:szCs w:val="24"/>
          <w:lang w:val="en-US" w:eastAsia="zh-CN"/>
        </w:rPr>
        <w:t>7651</w:t>
      </w:r>
      <w:r>
        <w:rPr>
          <w:rFonts w:hint="eastAsia" w:ascii="宋体" w:hAnsi="宋体" w:eastAsia="宋体"/>
          <w:sz w:val="24"/>
          <w:szCs w:val="24"/>
        </w:rPr>
        <w:t>元。当年新增教学科研仪器设备值1983.835万元，</w:t>
      </w:r>
      <w:r>
        <w:rPr>
          <w:rFonts w:hint="eastAsia" w:ascii="宋体" w:hAnsi="宋体" w:eastAsia="宋体"/>
          <w:sz w:val="24"/>
          <w:szCs w:val="24"/>
          <w:lang w:eastAsia="zh-CN"/>
        </w:rPr>
        <w:t>年增长率</w:t>
      </w:r>
      <w:r>
        <w:rPr>
          <w:rFonts w:hint="eastAsia" w:ascii="宋体" w:hAnsi="宋体" w:eastAsia="宋体"/>
          <w:sz w:val="24"/>
          <w:szCs w:val="24"/>
        </w:rPr>
        <w:t>21.90%。</w:t>
      </w:r>
    </w:p>
    <w:p>
      <w:pPr>
        <w:pStyle w:val="4"/>
        <w:jc w:val="left"/>
      </w:pPr>
      <w:bookmarkStart w:id="15" w:name="_Toc11625"/>
      <w:bookmarkStart w:id="16" w:name="_Toc11273"/>
      <w:r>
        <w:rPr>
          <w:rFonts w:hint="eastAsia" w:ascii="黑体" w:hAnsi="黑体" w:eastAsia="黑体"/>
          <w:sz w:val="28"/>
          <w:szCs w:val="28"/>
        </w:rPr>
        <w:t>3.图书馆及图书资源</w:t>
      </w:r>
      <w:bookmarkEnd w:id="15"/>
      <w:bookmarkEnd w:id="16"/>
    </w:p>
    <w:p>
      <w:pPr>
        <w:ind w:firstLine="480" w:firstLineChars="200"/>
        <w:jc w:val="left"/>
        <w:rPr>
          <w:rFonts w:hint="eastAsia" w:ascii="宋体" w:hAnsi="宋体" w:eastAsia="宋体"/>
          <w:sz w:val="24"/>
          <w:szCs w:val="24"/>
          <w:u w:val="none"/>
          <w:lang w:eastAsia="zh-CN"/>
        </w:rPr>
      </w:pPr>
      <w:r>
        <w:rPr>
          <w:rFonts w:hint="eastAsia" w:ascii="宋体" w:hAnsi="宋体" w:eastAsia="宋体"/>
          <w:sz w:val="24"/>
          <w:szCs w:val="24"/>
          <w:u w:val="none"/>
        </w:rPr>
        <w:t>学校图书馆总面积达到25535.07</w:t>
      </w:r>
      <w:r>
        <w:rPr>
          <w:rFonts w:hint="eastAsia" w:ascii="宋体" w:hAnsi="宋体" w:eastAsia="宋体"/>
          <w:sz w:val="24"/>
          <w:szCs w:val="24"/>
          <w:u w:val="none"/>
          <w:lang w:eastAsia="zh-CN"/>
        </w:rPr>
        <w:t>平方米</w:t>
      </w:r>
      <w:r>
        <w:rPr>
          <w:rFonts w:hint="eastAsia" w:ascii="宋体" w:hAnsi="宋体" w:eastAsia="宋体"/>
          <w:sz w:val="24"/>
          <w:szCs w:val="24"/>
          <w:u w:val="none"/>
        </w:rPr>
        <w:t>，建有图书阅览室26个，自习区17个，电子阅览室1个，共计阅览座位数2523个，馆内配备中央空调，无线网络全覆盖，周一至周日全天开馆，每周开放服务</w:t>
      </w:r>
      <w:r>
        <w:rPr>
          <w:rFonts w:hint="eastAsia" w:ascii="宋体" w:hAnsi="宋体" w:eastAsia="宋体"/>
          <w:sz w:val="24"/>
          <w:szCs w:val="24"/>
          <w:highlight w:val="none"/>
          <w:u w:val="none"/>
        </w:rPr>
        <w:t>时长达</w:t>
      </w:r>
      <w:r>
        <w:rPr>
          <w:rFonts w:hint="eastAsia" w:ascii="宋体" w:hAnsi="宋体" w:eastAsia="宋体"/>
          <w:sz w:val="24"/>
          <w:szCs w:val="24"/>
          <w:u w:val="none"/>
        </w:rPr>
        <w:t>98小时，网上资源24小时开放。</w:t>
      </w:r>
      <w:r>
        <w:rPr>
          <w:rFonts w:ascii="宋体" w:hAnsi="宋体" w:eastAsia="宋体" w:cs="宋体"/>
          <w:kern w:val="0"/>
          <w:sz w:val="24"/>
          <w:szCs w:val="24"/>
          <w:lang w:val="en-US" w:eastAsia="zh-CN" w:bidi="ar"/>
        </w:rPr>
        <w:t>现有馆藏纸质图书119.71册，生均82.95册；电子图书956052册，电子期刊21473种，纸质报刊1080种，数据库21个</w:t>
      </w:r>
      <w:r>
        <w:rPr>
          <w:rFonts w:hint="eastAsia" w:ascii="宋体" w:hAnsi="宋体" w:eastAsia="宋体"/>
          <w:sz w:val="24"/>
          <w:szCs w:val="24"/>
          <w:u w:val="none"/>
          <w:lang w:eastAsia="zh-CN"/>
        </w:rPr>
        <w:t>。</w:t>
      </w:r>
      <w:r>
        <w:rPr>
          <w:rFonts w:hint="eastAsia" w:ascii="宋体" w:hAnsi="宋体" w:eastAsia="宋体"/>
          <w:sz w:val="24"/>
          <w:szCs w:val="24"/>
          <w:u w:val="none"/>
          <w:lang w:val="en-US" w:eastAsia="zh-CN"/>
        </w:rPr>
        <w:t>2017年</w:t>
      </w:r>
      <w:r>
        <w:rPr>
          <w:rFonts w:hint="eastAsia" w:ascii="宋体" w:hAnsi="宋体" w:eastAsia="宋体"/>
          <w:sz w:val="24"/>
          <w:szCs w:val="24"/>
          <w:u w:val="none"/>
        </w:rPr>
        <w:t>，新增</w:t>
      </w:r>
      <w:r>
        <w:rPr>
          <w:rFonts w:hint="eastAsia" w:ascii="宋体" w:hAnsi="宋体" w:eastAsia="宋体"/>
          <w:sz w:val="24"/>
          <w:szCs w:val="24"/>
          <w:u w:val="none"/>
          <w:lang w:eastAsia="zh-CN"/>
        </w:rPr>
        <w:t>纸质图书</w:t>
      </w:r>
      <w:r>
        <w:rPr>
          <w:rFonts w:hint="eastAsia" w:ascii="宋体" w:hAnsi="宋体" w:eastAsia="宋体"/>
          <w:sz w:val="24"/>
          <w:szCs w:val="24"/>
          <w:u w:val="none"/>
        </w:rPr>
        <w:t>112742册，生均年进新书量7.81册</w:t>
      </w:r>
      <w:r>
        <w:rPr>
          <w:rFonts w:hint="eastAsia" w:ascii="宋体" w:hAnsi="宋体" w:eastAsia="宋体"/>
          <w:sz w:val="24"/>
          <w:szCs w:val="24"/>
          <w:u w:val="none"/>
          <w:lang w:eastAsia="zh-CN"/>
        </w:rPr>
        <w:t>；</w:t>
      </w:r>
      <w:r>
        <w:rPr>
          <w:rFonts w:hint="eastAsia" w:ascii="宋体" w:hAnsi="宋体" w:eastAsia="宋体"/>
          <w:sz w:val="24"/>
          <w:szCs w:val="24"/>
          <w:u w:val="none"/>
        </w:rPr>
        <w:t>图书流通</w:t>
      </w:r>
      <w:r>
        <w:rPr>
          <w:rFonts w:hint="eastAsia" w:ascii="宋体" w:hAnsi="宋体" w:eastAsia="宋体"/>
          <w:sz w:val="24"/>
          <w:szCs w:val="24"/>
          <w:highlight w:val="none"/>
          <w:u w:val="none"/>
        </w:rPr>
        <w:t>量</w:t>
      </w:r>
      <w:r>
        <w:rPr>
          <w:rFonts w:hint="eastAsia" w:ascii="宋体" w:hAnsi="宋体" w:eastAsia="宋体"/>
          <w:sz w:val="24"/>
          <w:szCs w:val="24"/>
          <w:u w:val="none"/>
        </w:rPr>
        <w:t>达到31220本次，电子资源访问量6255915次。</w:t>
      </w:r>
    </w:p>
    <w:p>
      <w:pPr>
        <w:spacing w:line="300" w:lineRule="auto"/>
        <w:ind w:firstLine="480" w:firstLineChars="200"/>
        <w:rPr>
          <w:rFonts w:hint="eastAsia" w:ascii="宋体" w:hAnsi="宋体" w:eastAsia="宋体" w:cstheme="minorBidi"/>
          <w:kern w:val="2"/>
          <w:sz w:val="24"/>
          <w:szCs w:val="24"/>
          <w:u w:val="none"/>
        </w:rPr>
      </w:pPr>
      <w:r>
        <w:rPr>
          <w:rFonts w:hint="eastAsia" w:ascii="宋体" w:hAnsi="宋体" w:eastAsia="宋体"/>
          <w:sz w:val="24"/>
          <w:szCs w:val="24"/>
          <w:u w:val="none"/>
        </w:rPr>
        <w:t>图书馆</w:t>
      </w:r>
      <w:r>
        <w:rPr>
          <w:rFonts w:hint="eastAsia" w:ascii="宋体" w:hAnsi="宋体" w:eastAsia="宋体"/>
          <w:sz w:val="24"/>
          <w:szCs w:val="24"/>
          <w:u w:val="none"/>
          <w:lang w:eastAsia="zh-CN"/>
        </w:rPr>
        <w:t>围绕学校应用型办学定位</w:t>
      </w:r>
      <w:r>
        <w:rPr>
          <w:rFonts w:hint="eastAsia" w:ascii="宋体" w:hAnsi="宋体" w:eastAsia="宋体"/>
          <w:sz w:val="24"/>
          <w:szCs w:val="24"/>
          <w:u w:val="none"/>
        </w:rPr>
        <w:t>，</w:t>
      </w:r>
      <w:r>
        <w:rPr>
          <w:rFonts w:hint="eastAsia" w:ascii="宋体" w:hAnsi="宋体" w:eastAsia="宋体"/>
          <w:sz w:val="24"/>
          <w:szCs w:val="24"/>
          <w:u w:val="none"/>
          <w:lang w:eastAsia="zh-CN"/>
        </w:rPr>
        <w:t>在服务校内师生的同时，积极服务地方，努力建设应用型图书馆。</w:t>
      </w:r>
      <w:r>
        <w:rPr>
          <w:rFonts w:hint="eastAsia" w:ascii="宋体" w:hAnsi="宋体" w:eastAsia="宋体" w:cstheme="minorBidi"/>
          <w:sz w:val="24"/>
          <w:szCs w:val="24"/>
          <w:u w:val="none"/>
        </w:rPr>
        <w:t>建有专门的创新创业图书资源库，开辟有专门的创新创业图书阅读区，制定有阅读学分与创新创业实践学分互换制度，有效服务学校“创业有能力”的应用型人才培养目标与规格；</w:t>
      </w:r>
      <w:r>
        <w:rPr>
          <w:rFonts w:hint="eastAsia" w:ascii="宋体" w:hAnsi="宋体" w:eastAsia="宋体" w:cstheme="minorBidi"/>
          <w:sz w:val="24"/>
          <w:szCs w:val="24"/>
          <w:highlight w:val="none"/>
          <w:u w:val="none"/>
        </w:rPr>
        <w:t>兼名</w:t>
      </w:r>
      <w:r>
        <w:rPr>
          <w:rFonts w:hint="eastAsia" w:ascii="宋体" w:hAnsi="宋体" w:eastAsia="宋体" w:cstheme="minorBidi"/>
          <w:sz w:val="24"/>
          <w:szCs w:val="24"/>
          <w:u w:val="none"/>
        </w:rPr>
        <w:t>“南宁市科技图书馆”，成为广西首个高校</w:t>
      </w:r>
      <w:r>
        <w:rPr>
          <w:rFonts w:hint="eastAsia" w:ascii="宋体" w:hAnsi="宋体" w:eastAsia="宋体" w:cstheme="minorBidi"/>
          <w:sz w:val="24"/>
          <w:szCs w:val="24"/>
          <w:highlight w:val="none"/>
          <w:u w:val="none"/>
        </w:rPr>
        <w:t>兼名</w:t>
      </w:r>
      <w:r>
        <w:rPr>
          <w:rFonts w:hint="eastAsia" w:ascii="宋体" w:hAnsi="宋体" w:eastAsia="宋体" w:cstheme="minorBidi"/>
          <w:sz w:val="24"/>
          <w:szCs w:val="24"/>
          <w:u w:val="none"/>
        </w:rPr>
        <w:t>科技图书馆，有效落实学校的服务面向定位；</w:t>
      </w:r>
      <w:r>
        <w:rPr>
          <w:rFonts w:hint="eastAsia" w:ascii="宋体" w:hAnsi="宋体" w:eastAsia="宋体"/>
          <w:sz w:val="24"/>
          <w:szCs w:val="24"/>
          <w:u w:val="none"/>
        </w:rPr>
        <w:t>坚持每年举办“书香南院”系列活动，开展学科教授咨询活动，以教师阅读、</w:t>
      </w:r>
      <w:r>
        <w:rPr>
          <w:rFonts w:hint="eastAsia" w:ascii="宋体" w:hAnsi="宋体" w:eastAsia="宋体"/>
          <w:sz w:val="24"/>
          <w:szCs w:val="24"/>
          <w:highlight w:val="none"/>
          <w:u w:val="none"/>
        </w:rPr>
        <w:t>荐阅</w:t>
      </w:r>
      <w:r>
        <w:rPr>
          <w:rFonts w:hint="eastAsia" w:ascii="宋体" w:hAnsi="宋体" w:eastAsia="宋体"/>
          <w:sz w:val="24"/>
          <w:szCs w:val="24"/>
          <w:u w:val="none"/>
        </w:rPr>
        <w:t>、荐购“三排行”为抓手，实现教师阅读带动学生阅读，推动图书馆从资源中心向学习中心和交流中心转变。</w:t>
      </w:r>
    </w:p>
    <w:p>
      <w:pPr>
        <w:pStyle w:val="4"/>
        <w:jc w:val="left"/>
        <w:rPr>
          <w:rFonts w:hint="eastAsia" w:ascii="宋体" w:hAnsi="宋体" w:eastAsia="宋体"/>
          <w:sz w:val="24"/>
          <w:szCs w:val="24"/>
          <w:u w:val="none"/>
          <w:lang w:eastAsia="zh-CN"/>
        </w:rPr>
      </w:pPr>
      <w:bookmarkStart w:id="17" w:name="_Toc29304"/>
      <w:bookmarkStart w:id="18" w:name="_Toc5258"/>
      <w:r>
        <w:rPr>
          <w:rFonts w:hint="eastAsia" w:ascii="黑体" w:hAnsi="黑体" w:eastAsia="黑体"/>
          <w:sz w:val="28"/>
          <w:szCs w:val="28"/>
        </w:rPr>
        <w:t>4.信息资源</w:t>
      </w:r>
      <w:bookmarkEnd w:id="17"/>
      <w:bookmarkEnd w:id="18"/>
    </w:p>
    <w:p>
      <w:pPr>
        <w:ind w:firstLine="480" w:firstLineChars="200"/>
        <w:jc w:val="left"/>
        <w:rPr>
          <w:rFonts w:hint="eastAsia" w:ascii="宋体" w:hAnsi="宋体" w:eastAsia="宋体"/>
          <w:sz w:val="24"/>
          <w:szCs w:val="24"/>
          <w:u w:val="none"/>
          <w:lang w:eastAsia="zh-CN"/>
        </w:rPr>
      </w:pPr>
      <w:r>
        <w:rPr>
          <w:rFonts w:hint="eastAsia" w:ascii="宋体" w:hAnsi="宋体" w:eastAsia="宋体"/>
          <w:sz w:val="24"/>
          <w:szCs w:val="24"/>
          <w:u w:val="none"/>
        </w:rPr>
        <w:t>学校校园网已</w:t>
      </w:r>
      <w:r>
        <w:rPr>
          <w:rFonts w:hint="eastAsia" w:ascii="宋体" w:hAnsi="宋体" w:eastAsia="宋体"/>
          <w:sz w:val="24"/>
          <w:szCs w:val="24"/>
          <w:u w:val="none"/>
          <w:lang w:eastAsia="zh-CN"/>
        </w:rPr>
        <w:t>建</w:t>
      </w:r>
      <w:r>
        <w:rPr>
          <w:rFonts w:hint="eastAsia" w:ascii="宋体" w:hAnsi="宋体" w:eastAsia="宋体"/>
          <w:sz w:val="24"/>
          <w:szCs w:val="24"/>
          <w:u w:val="none"/>
        </w:rPr>
        <w:t>成“千兆骨干、万兆核心”、“有线无线融合立体”的现代化校园“信息高速公路”，有4条互联网出口专线，共计出口带宽</w:t>
      </w:r>
      <w:r>
        <w:rPr>
          <w:rFonts w:hint="eastAsia" w:ascii="宋体" w:hAnsi="宋体" w:eastAsia="宋体"/>
          <w:sz w:val="24"/>
          <w:szCs w:val="24"/>
          <w:u w:val="none"/>
          <w:lang w:val="en-US" w:eastAsia="zh-CN"/>
        </w:rPr>
        <w:t>7400M</w:t>
      </w:r>
      <w:r>
        <w:rPr>
          <w:rFonts w:hint="eastAsia" w:ascii="宋体" w:hAnsi="宋体" w:eastAsia="宋体"/>
          <w:sz w:val="24"/>
          <w:szCs w:val="24"/>
          <w:u w:val="none"/>
        </w:rPr>
        <w:t>bps。校内有线网络全覆盖，共计信息点11</w:t>
      </w:r>
      <w:r>
        <w:rPr>
          <w:rFonts w:hint="eastAsia" w:ascii="宋体" w:hAnsi="宋体" w:eastAsia="宋体"/>
          <w:sz w:val="24"/>
          <w:szCs w:val="24"/>
          <w:u w:val="none"/>
          <w:lang w:val="en-US" w:eastAsia="zh-CN"/>
        </w:rPr>
        <w:t>692</w:t>
      </w:r>
      <w:r>
        <w:rPr>
          <w:rFonts w:hint="eastAsia" w:ascii="宋体" w:hAnsi="宋体" w:eastAsia="宋体"/>
          <w:sz w:val="24"/>
          <w:szCs w:val="24"/>
          <w:u w:val="none"/>
        </w:rPr>
        <w:t>个；无线校园承载“智慧教学”，免费畅行，基本实现校园教学、办公、公共活动和服务场所全覆盖。建有160平方标准化数据中心机房1个，通过“超融合+云计算”技术架构承载校园网，校园网“一朵云”通过“全光”网络辐射</w:t>
      </w:r>
      <w:r>
        <w:rPr>
          <w:rFonts w:hint="eastAsia" w:ascii="宋体" w:hAnsi="宋体" w:eastAsia="宋体"/>
          <w:sz w:val="24"/>
          <w:szCs w:val="24"/>
          <w:u w:val="none"/>
          <w:lang w:eastAsia="zh-CN"/>
        </w:rPr>
        <w:t>教学楼</w:t>
      </w:r>
      <w:r>
        <w:rPr>
          <w:rFonts w:hint="eastAsia" w:ascii="宋体" w:hAnsi="宋体" w:eastAsia="宋体"/>
          <w:sz w:val="24"/>
          <w:szCs w:val="24"/>
          <w:u w:val="none"/>
        </w:rPr>
        <w:t>多媒体教室</w:t>
      </w:r>
      <w:r>
        <w:rPr>
          <w:rFonts w:hint="eastAsia" w:ascii="宋体" w:hAnsi="宋体" w:eastAsia="宋体"/>
          <w:sz w:val="24"/>
          <w:szCs w:val="24"/>
          <w:u w:val="none"/>
          <w:lang w:eastAsia="zh-CN"/>
        </w:rPr>
        <w:t>云计算，有效支撑学校教学。</w:t>
      </w:r>
    </w:p>
    <w:p>
      <w:pPr>
        <w:ind w:firstLine="480" w:firstLineChars="200"/>
        <w:jc w:val="left"/>
        <w:rPr>
          <w:rFonts w:hint="eastAsia" w:ascii="宋体" w:hAnsi="宋体" w:eastAsia="宋体"/>
          <w:sz w:val="24"/>
          <w:szCs w:val="24"/>
          <w:u w:val="none"/>
          <w:lang w:eastAsia="zh-CN"/>
        </w:rPr>
      </w:pPr>
      <w:r>
        <w:rPr>
          <w:rFonts w:hint="eastAsia" w:ascii="宋体" w:hAnsi="宋体" w:eastAsia="宋体"/>
          <w:sz w:val="24"/>
          <w:szCs w:val="24"/>
          <w:u w:val="none"/>
          <w:lang w:eastAsia="zh-CN"/>
        </w:rPr>
        <w:t>学校</w:t>
      </w:r>
      <w:r>
        <w:rPr>
          <w:rFonts w:hint="eastAsia" w:ascii="宋体" w:hAnsi="宋体" w:eastAsia="宋体"/>
          <w:sz w:val="24"/>
          <w:szCs w:val="24"/>
          <w:u w:val="none"/>
        </w:rPr>
        <w:t>建设有通识课在线学习平台、网络教学平台</w:t>
      </w:r>
      <w:r>
        <w:rPr>
          <w:rFonts w:hint="eastAsia" w:ascii="宋体" w:hAnsi="宋体" w:eastAsia="宋体"/>
          <w:sz w:val="24"/>
          <w:szCs w:val="24"/>
          <w:u w:val="none"/>
          <w:lang w:eastAsia="zh-CN"/>
        </w:rPr>
        <w:t>、“学习通”移动课堂等信息化教学应用</w:t>
      </w:r>
      <w:r>
        <w:rPr>
          <w:rFonts w:hint="eastAsia" w:ascii="宋体" w:hAnsi="宋体" w:eastAsia="宋体"/>
          <w:sz w:val="24"/>
          <w:szCs w:val="24"/>
          <w:u w:val="none"/>
        </w:rPr>
        <w:t>，先后引入国内名师网络课程118门，自建网络课程20门，年均选课</w:t>
      </w:r>
      <w:r>
        <w:rPr>
          <w:rFonts w:hint="eastAsia" w:ascii="宋体" w:hAnsi="宋体" w:eastAsia="宋体"/>
          <w:sz w:val="24"/>
          <w:szCs w:val="24"/>
          <w:u w:val="none"/>
          <w:lang w:eastAsia="zh-CN"/>
        </w:rPr>
        <w:t>达</w:t>
      </w:r>
      <w:r>
        <w:rPr>
          <w:rFonts w:hint="eastAsia" w:ascii="宋体" w:hAnsi="宋体" w:eastAsia="宋体"/>
          <w:sz w:val="24"/>
          <w:szCs w:val="24"/>
          <w:u w:val="none"/>
        </w:rPr>
        <w:t>21000人次</w:t>
      </w:r>
      <w:r>
        <w:rPr>
          <w:rFonts w:hint="eastAsia" w:ascii="宋体" w:hAnsi="宋体" w:eastAsia="宋体"/>
          <w:sz w:val="24"/>
          <w:szCs w:val="24"/>
          <w:u w:val="none"/>
          <w:lang w:eastAsia="zh-CN"/>
        </w:rPr>
        <w:t>；</w:t>
      </w:r>
      <w:r>
        <w:rPr>
          <w:rFonts w:hint="eastAsia" w:ascii="宋体" w:hAnsi="宋体" w:eastAsia="宋体" w:cstheme="minorBidi"/>
          <w:sz w:val="24"/>
          <w:szCs w:val="24"/>
          <w:u w:val="none"/>
        </w:rPr>
        <w:t>建有</w:t>
      </w:r>
      <w:r>
        <w:rPr>
          <w:rFonts w:hint="eastAsia" w:ascii="宋体" w:hAnsi="宋体" w:eastAsia="宋体"/>
          <w:sz w:val="24"/>
          <w:szCs w:val="24"/>
          <w:u w:val="none"/>
        </w:rPr>
        <w:t>办公、教务管理、资产管理、学生工作服务、财务服务、科研管理、人力资源管理等14个信息化业务系统以及校园一卡通系统，基本实现了各项管理的网络化与信息化</w:t>
      </w:r>
      <w:r>
        <w:rPr>
          <w:rFonts w:hint="eastAsia" w:ascii="宋体" w:hAnsi="宋体" w:eastAsia="宋体" w:cstheme="minorBidi"/>
          <w:sz w:val="24"/>
          <w:szCs w:val="24"/>
          <w:u w:val="none"/>
        </w:rPr>
        <w:t>。</w:t>
      </w:r>
    </w:p>
    <w:p>
      <w:pPr>
        <w:pStyle w:val="2"/>
        <w:jc w:val="left"/>
        <w:rPr>
          <w:rFonts w:hint="eastAsia" w:ascii="黑体" w:hAnsi="黑体" w:eastAsia="黑体"/>
          <w:sz w:val="28"/>
          <w:szCs w:val="28"/>
        </w:rPr>
      </w:pPr>
      <w:bookmarkStart w:id="19" w:name="_Toc5826"/>
      <w:r>
        <w:rPr>
          <w:rFonts w:hint="eastAsia" w:ascii="黑体" w:hAnsi="黑体" w:eastAsia="黑体"/>
          <w:sz w:val="28"/>
          <w:szCs w:val="28"/>
        </w:rPr>
        <w:t>三、教学建设与改革</w:t>
      </w:r>
      <w:bookmarkEnd w:id="19"/>
    </w:p>
    <w:p>
      <w:pPr>
        <w:pStyle w:val="3"/>
        <w:jc w:val="left"/>
      </w:pPr>
      <w:bookmarkStart w:id="20" w:name="_Toc25037"/>
      <w:r>
        <w:rPr>
          <w:rFonts w:hint="eastAsia" w:ascii="黑体" w:hAnsi="黑体" w:eastAsia="黑体"/>
          <w:sz w:val="28"/>
          <w:szCs w:val="28"/>
        </w:rPr>
        <w:t>（一）专业建设</w:t>
      </w:r>
      <w:bookmarkEnd w:id="20"/>
    </w:p>
    <w:p>
      <w:pPr>
        <w:spacing w:line="240" w:lineRule="auto"/>
        <w:ind w:firstLine="480" w:firstLineChars="200"/>
        <w:jc w:val="left"/>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2017-2018学年，</w:t>
      </w:r>
      <w:r>
        <w:rPr>
          <w:rFonts w:hint="eastAsia" w:ascii="宋体" w:hAnsi="宋体" w:eastAsia="宋体"/>
          <w:color w:val="auto"/>
          <w:sz w:val="24"/>
          <w:szCs w:val="24"/>
        </w:rPr>
        <w:t>学校抓住新工科建设发展机遇，加入广西高校新工科研究与实践联盟，围绕新技术、新产业、新业态和新模式精心布局新工科</w:t>
      </w:r>
      <w:r>
        <w:rPr>
          <w:rFonts w:hint="eastAsia" w:ascii="宋体" w:hAnsi="宋体" w:eastAsia="宋体"/>
          <w:color w:val="auto"/>
          <w:sz w:val="24"/>
          <w:szCs w:val="24"/>
          <w:lang w:eastAsia="zh-CN"/>
        </w:rPr>
        <w:t>，</w:t>
      </w:r>
      <w:r>
        <w:rPr>
          <w:rFonts w:hint="eastAsia" w:ascii="宋体" w:hAnsi="宋体" w:eastAsia="宋体"/>
          <w:bCs/>
          <w:sz w:val="24"/>
          <w:szCs w:val="24"/>
          <w:lang w:val="en-US" w:eastAsia="zh-CN"/>
        </w:rPr>
        <w:t>新增数据科学与大数据技术、视觉传达设计、工</w:t>
      </w:r>
      <w:r>
        <w:rPr>
          <w:rFonts w:hint="eastAsia" w:ascii="宋体" w:hAnsi="宋体" w:eastAsia="宋体"/>
          <w:bCs w:val="0"/>
          <w:color w:val="auto"/>
          <w:sz w:val="24"/>
          <w:szCs w:val="24"/>
          <w:lang w:val="en-US" w:eastAsia="zh-CN"/>
        </w:rPr>
        <w:t>程审计等专业；</w:t>
      </w:r>
      <w:r>
        <w:rPr>
          <w:rFonts w:hint="eastAsia" w:ascii="宋体" w:hAnsi="宋体" w:eastAsia="宋体"/>
          <w:color w:val="auto"/>
          <w:sz w:val="24"/>
          <w:szCs w:val="24"/>
          <w:lang w:eastAsia="zh-CN"/>
        </w:rPr>
        <w:t>质量管理工程、通信工程、工艺美术、会计学</w:t>
      </w:r>
      <w:r>
        <w:rPr>
          <w:rFonts w:hint="eastAsia" w:ascii="宋体" w:hAnsi="宋体" w:eastAsia="宋体"/>
          <w:color w:val="auto"/>
          <w:sz w:val="24"/>
          <w:szCs w:val="24"/>
          <w:lang w:val="en-US" w:eastAsia="zh-CN"/>
        </w:rPr>
        <w:t>4个专业获得2018年广西民办重点专业立项；</w:t>
      </w:r>
      <w:r>
        <w:rPr>
          <w:rFonts w:hint="eastAsia" w:ascii="宋体" w:hAnsi="宋体" w:eastAsia="宋体"/>
          <w:color w:val="auto"/>
          <w:sz w:val="24"/>
          <w:szCs w:val="24"/>
        </w:rPr>
        <w:t>交通运输规划与管理</w:t>
      </w:r>
      <w:r>
        <w:rPr>
          <w:rFonts w:hint="eastAsia" w:ascii="宋体" w:hAnsi="宋体" w:eastAsia="宋体"/>
          <w:color w:val="auto"/>
          <w:sz w:val="24"/>
          <w:szCs w:val="24"/>
          <w:lang w:eastAsia="zh-CN"/>
        </w:rPr>
        <w:t>学科</w:t>
      </w:r>
      <w:r>
        <w:rPr>
          <w:rFonts w:hint="eastAsia" w:ascii="宋体" w:hAnsi="宋体" w:eastAsia="宋体"/>
          <w:color w:val="auto"/>
          <w:sz w:val="24"/>
          <w:szCs w:val="24"/>
        </w:rPr>
        <w:t>获批为2017年广西重点学科</w:t>
      </w:r>
      <w:r>
        <w:rPr>
          <w:rFonts w:hint="eastAsia" w:ascii="宋体" w:hAnsi="宋体" w:eastAsia="宋体"/>
          <w:color w:val="auto"/>
          <w:sz w:val="24"/>
          <w:szCs w:val="24"/>
          <w:lang w:eastAsia="zh-CN"/>
        </w:rPr>
        <w:t>。</w:t>
      </w:r>
      <w:r>
        <w:rPr>
          <w:rFonts w:hint="eastAsia" w:ascii="宋体" w:hAnsi="宋体" w:eastAsia="宋体" w:cstheme="minorBidi"/>
          <w:color w:val="000000"/>
          <w:sz w:val="24"/>
          <w:szCs w:val="24"/>
          <w:lang w:val="en-US" w:eastAsia="zh-CN"/>
        </w:rPr>
        <w:t>学校现有广西高校重点学科1个，广西高校特色本科专业1个，自治区民办重点本科专业5个，设置有本科专业25个，涵盖4个学科门类，工学专业15个，占比60%，形成了工学为主，管理学、经济学、艺术学为辅的应用型学科专体系发展局面</w:t>
      </w:r>
      <w:r>
        <w:rPr>
          <w:rFonts w:hint="eastAsia" w:ascii="宋体" w:hAnsi="宋体" w:eastAsia="宋体"/>
          <w:color w:val="auto"/>
          <w:sz w:val="24"/>
          <w:szCs w:val="24"/>
          <w:lang w:val="en-US" w:eastAsia="zh-CN"/>
        </w:rPr>
        <w:t>。</w:t>
      </w:r>
    </w:p>
    <w:p>
      <w:pPr>
        <w:pStyle w:val="3"/>
        <w:jc w:val="left"/>
      </w:pPr>
      <w:bookmarkStart w:id="21" w:name="_Toc15589"/>
      <w:r>
        <w:rPr>
          <w:rFonts w:hint="eastAsia" w:ascii="黑体" w:hAnsi="黑体" w:eastAsia="黑体"/>
          <w:sz w:val="28"/>
          <w:szCs w:val="28"/>
        </w:rPr>
        <w:t>（二）课程建设</w:t>
      </w:r>
      <w:bookmarkEnd w:id="21"/>
    </w:p>
    <w:p>
      <w:pPr>
        <w:ind w:firstLine="480" w:firstLineChars="200"/>
        <w:jc w:val="left"/>
        <w:rPr>
          <w:rFonts w:hint="eastAsia" w:ascii="宋体" w:hAnsi="宋体" w:eastAsia="宋体"/>
          <w:color w:val="auto"/>
          <w:sz w:val="24"/>
          <w:szCs w:val="24"/>
        </w:rPr>
      </w:pPr>
      <w:r>
        <w:rPr>
          <w:rFonts w:hint="eastAsia" w:ascii="宋体" w:hAnsi="宋体" w:eastAsia="宋体" w:cstheme="minorBidi"/>
          <w:color w:val="000000"/>
          <w:sz w:val="24"/>
          <w:szCs w:val="24"/>
          <w:lang w:val="en-US" w:eastAsia="zh-CN"/>
        </w:rPr>
        <w:t>课程是人才培养的核心要素，抓住课程改革与课堂革命就抓住了应用型人才培养能力提升的核心。</w:t>
      </w:r>
      <w:r>
        <w:rPr>
          <w:rFonts w:hint="eastAsia" w:ascii="宋体" w:hAnsi="宋体" w:eastAsia="宋体" w:cstheme="minorBidi"/>
          <w:bCs w:val="0"/>
          <w:color w:val="auto"/>
          <w:sz w:val="24"/>
          <w:szCs w:val="24"/>
          <w:lang w:eastAsia="zh-CN"/>
        </w:rPr>
        <w:t>201</w:t>
      </w:r>
      <w:r>
        <w:rPr>
          <w:rFonts w:hint="eastAsia" w:asciiTheme="majorEastAsia" w:hAnsiTheme="majorEastAsia" w:eastAsiaTheme="majorEastAsia" w:cstheme="minorEastAsia"/>
          <w:bCs/>
          <w:sz w:val="24"/>
          <w:szCs w:val="24"/>
          <w:lang w:val="en-US" w:eastAsia="zh-CN"/>
        </w:rPr>
        <w:t>7</w:t>
      </w:r>
      <w:r>
        <w:rPr>
          <w:rFonts w:hint="eastAsia" w:asciiTheme="majorEastAsia" w:hAnsiTheme="majorEastAsia" w:eastAsiaTheme="majorEastAsia" w:cstheme="minorEastAsia"/>
          <w:bCs/>
          <w:sz w:val="24"/>
          <w:szCs w:val="24"/>
          <w:lang w:eastAsia="zh-CN"/>
        </w:rPr>
        <w:t>年</w:t>
      </w:r>
      <w:r>
        <w:rPr>
          <w:rFonts w:hint="eastAsia" w:asciiTheme="majorEastAsia" w:hAnsiTheme="majorEastAsia" w:eastAsiaTheme="majorEastAsia" w:cstheme="minorEastAsia"/>
          <w:bCs/>
          <w:sz w:val="24"/>
          <w:szCs w:val="24"/>
        </w:rPr>
        <w:t>，</w:t>
      </w:r>
      <w:r>
        <w:rPr>
          <w:rFonts w:hint="eastAsia" w:asciiTheme="majorEastAsia" w:hAnsiTheme="majorEastAsia" w:eastAsiaTheme="majorEastAsia" w:cstheme="minorEastAsia"/>
          <w:bCs/>
          <w:sz w:val="24"/>
          <w:szCs w:val="24"/>
          <w:lang w:eastAsia="zh-CN"/>
        </w:rPr>
        <w:t>学校大力</w:t>
      </w:r>
      <w:r>
        <w:rPr>
          <w:rFonts w:hint="eastAsia" w:ascii="宋体" w:hAnsi="宋体" w:eastAsia="宋体"/>
          <w:color w:val="auto"/>
          <w:sz w:val="24"/>
          <w:szCs w:val="24"/>
        </w:rPr>
        <w:t>推行基于工作过程系统化的课程改革，制定</w:t>
      </w:r>
      <w:r>
        <w:rPr>
          <w:rFonts w:hint="eastAsia" w:ascii="宋体" w:hAnsi="宋体" w:eastAsia="宋体"/>
          <w:color w:val="auto"/>
          <w:sz w:val="24"/>
          <w:szCs w:val="24"/>
          <w:lang w:eastAsia="zh-CN"/>
        </w:rPr>
        <w:t>了</w:t>
      </w:r>
      <w:r>
        <w:rPr>
          <w:rFonts w:hint="eastAsia" w:ascii="宋体" w:hAnsi="宋体" w:eastAsia="宋体"/>
          <w:color w:val="auto"/>
          <w:sz w:val="24"/>
          <w:szCs w:val="24"/>
        </w:rPr>
        <w:t>《南宁学院应用型课程改革与建设实施方案（2017—2021）</w:t>
      </w:r>
      <w:r>
        <w:rPr>
          <w:rFonts w:hint="eastAsia" w:ascii="宋体" w:hAnsi="宋体" w:eastAsia="宋体"/>
          <w:color w:val="auto"/>
          <w:sz w:val="24"/>
          <w:szCs w:val="24"/>
          <w:lang w:eastAsia="zh-CN"/>
        </w:rPr>
        <w:t>，</w:t>
      </w:r>
      <w:r>
        <w:rPr>
          <w:rFonts w:hint="eastAsia" w:ascii="宋体" w:hAnsi="宋体" w:eastAsia="宋体" w:cstheme="minorBidi"/>
          <w:color w:val="000000"/>
          <w:sz w:val="24"/>
          <w:szCs w:val="24"/>
          <w:lang w:val="en-US" w:eastAsia="zh-CN"/>
        </w:rPr>
        <w:t>按照“工作任务教学化，教学任务工作化，工作过程系统化”的应用型课程建设原则和“真实职业环境、真学、真做、掌握真本领”的应用型课程建设导向，鼓励教师更新应用型课程建设观念，解构传统学科知识体系，重构工作过程导向的行动知识体系，构建与产业链、创新链发展同向同行同步同心的知识应用型课程体系</w:t>
      </w:r>
      <w:r>
        <w:rPr>
          <w:rFonts w:hint="eastAsia" w:ascii="宋体" w:hAnsi="宋体" w:eastAsia="宋体" w:cstheme="minorBidi"/>
          <w:color w:val="auto"/>
          <w:sz w:val="24"/>
          <w:szCs w:val="24"/>
          <w:lang w:val="en-US" w:eastAsia="zh-CN"/>
        </w:rPr>
        <w:t>，</w:t>
      </w:r>
      <w:r>
        <w:rPr>
          <w:rFonts w:hint="eastAsia" w:ascii="宋体" w:hAnsi="宋体" w:eastAsia="宋体"/>
          <w:color w:val="auto"/>
          <w:sz w:val="24"/>
          <w:szCs w:val="24"/>
        </w:rPr>
        <w:t>已立项四批共79门</w:t>
      </w:r>
      <w:r>
        <w:rPr>
          <w:rFonts w:hint="eastAsia" w:ascii="宋体" w:hAnsi="宋体" w:eastAsia="宋体"/>
          <w:color w:val="auto"/>
          <w:sz w:val="24"/>
          <w:szCs w:val="24"/>
          <w:lang w:eastAsia="zh-CN"/>
        </w:rPr>
        <w:t>课程为</w:t>
      </w:r>
      <w:r>
        <w:rPr>
          <w:rFonts w:hint="eastAsia" w:ascii="宋体" w:hAnsi="宋体" w:eastAsia="宋体"/>
          <w:color w:val="auto"/>
          <w:sz w:val="24"/>
          <w:szCs w:val="24"/>
        </w:rPr>
        <w:t>应用型示范课程，形成以“课程——课程群——专业——专业群”为基础结构的集群化改革</w:t>
      </w:r>
      <w:r>
        <w:rPr>
          <w:rFonts w:hint="eastAsia" w:ascii="宋体" w:hAnsi="宋体" w:eastAsia="宋体"/>
          <w:color w:val="auto"/>
          <w:sz w:val="24"/>
          <w:szCs w:val="24"/>
          <w:lang w:eastAsia="zh-CN"/>
        </w:rPr>
        <w:t>，</w:t>
      </w:r>
      <w:r>
        <w:rPr>
          <w:rFonts w:hint="eastAsia" w:ascii="宋体" w:hAnsi="宋体" w:eastAsia="宋体"/>
          <w:color w:val="auto"/>
          <w:sz w:val="24"/>
          <w:szCs w:val="24"/>
        </w:rPr>
        <w:t>学校教师对基于工作过程系统化的课程体系构建的认识逐渐明晰。</w:t>
      </w:r>
    </w:p>
    <w:p>
      <w:pPr>
        <w:ind w:firstLine="480" w:firstLineChars="200"/>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2017-2018学年，学校开设本科课程640门，3321门次，课程规模合理。</w:t>
      </w:r>
    </w:p>
    <w:p>
      <w:pPr>
        <w:ind w:firstLine="482" w:firstLineChars="200"/>
        <w:jc w:val="center"/>
        <w:rPr>
          <w:rFonts w:hint="eastAsia" w:ascii="宋体" w:hAnsi="宋体" w:eastAsia="宋体"/>
          <w:b/>
          <w:bCs/>
          <w:color w:val="auto"/>
          <w:sz w:val="24"/>
          <w:szCs w:val="24"/>
          <w:u w:val="none"/>
        </w:rPr>
      </w:pPr>
      <w:r>
        <w:rPr>
          <w:rFonts w:hint="eastAsia" w:ascii="宋体" w:hAnsi="宋体" w:eastAsia="宋体"/>
          <w:b/>
          <w:bCs/>
          <w:color w:val="auto"/>
          <w:sz w:val="24"/>
          <w:szCs w:val="24"/>
          <w:lang w:val="en-US" w:eastAsia="zh-CN"/>
        </w:rPr>
        <w:t>表4  2017-2018学年</w:t>
      </w:r>
      <w:r>
        <w:rPr>
          <w:rFonts w:hint="eastAsia" w:ascii="宋体" w:hAnsi="宋体" w:eastAsia="宋体"/>
          <w:b/>
          <w:bCs/>
          <w:color w:val="auto"/>
          <w:sz w:val="24"/>
          <w:szCs w:val="24"/>
        </w:rPr>
        <w:t>课程规模情况</w:t>
      </w:r>
    </w:p>
    <w:tbl>
      <w:tblPr>
        <w:tblStyle w:val="14"/>
        <w:tblW w:w="8722" w:type="dxa"/>
        <w:jc w:val="center"/>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44"/>
        <w:gridCol w:w="1744"/>
        <w:gridCol w:w="1744"/>
        <w:gridCol w:w="1745"/>
        <w:gridCol w:w="17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blHeader/>
          <w:jc w:val="center"/>
        </w:trPr>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eastAsia="Times New Roman" w:cs="Times New Roman"/>
                <w:color w:val="auto"/>
                <w:sz w:val="22"/>
                <w:szCs w:val="22"/>
              </w:rPr>
            </w:pPr>
            <w:r>
              <w:rPr>
                <w:rFonts w:hint="eastAsia" w:ascii="Times New Roman" w:hAnsi="Times New Roman"/>
                <w:b/>
                <w:bCs/>
                <w:color w:val="auto"/>
                <w:sz w:val="22"/>
                <w:szCs w:val="22"/>
              </w:rPr>
              <w:t>课程类别</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eastAsia="Times New Roman" w:cs="Times New Roman"/>
                <w:color w:val="auto"/>
                <w:sz w:val="22"/>
                <w:szCs w:val="22"/>
              </w:rPr>
            </w:pPr>
            <w:r>
              <w:rPr>
                <w:rFonts w:hint="eastAsia" w:ascii="Times New Roman" w:hAnsi="Times New Roman"/>
                <w:b/>
                <w:bCs/>
                <w:color w:val="auto"/>
                <w:sz w:val="22"/>
                <w:szCs w:val="22"/>
              </w:rPr>
              <w:t>课程门数</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eastAsia="Times New Roman" w:cs="Times New Roman"/>
                <w:color w:val="auto"/>
                <w:sz w:val="22"/>
                <w:szCs w:val="22"/>
              </w:rPr>
            </w:pPr>
            <w:r>
              <w:rPr>
                <w:rFonts w:hint="eastAsia" w:ascii="Times New Roman" w:hAnsi="Times New Roman"/>
                <w:b/>
                <w:bCs/>
                <w:color w:val="auto"/>
                <w:sz w:val="22"/>
                <w:szCs w:val="22"/>
              </w:rPr>
              <w:t>课程门次数</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eastAsia="Times New Roman" w:cs="Times New Roman"/>
                <w:color w:val="auto"/>
                <w:sz w:val="22"/>
                <w:szCs w:val="22"/>
              </w:rPr>
            </w:pPr>
            <w:r>
              <w:rPr>
                <w:rFonts w:hint="eastAsia" w:ascii="Times New Roman" w:hAnsi="Times New Roman"/>
                <w:b/>
                <w:bCs/>
                <w:color w:val="auto"/>
                <w:sz w:val="22"/>
                <w:szCs w:val="22"/>
              </w:rPr>
              <w:t>平均学时数</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eastAsia="Times New Roman" w:cs="Times New Roman"/>
                <w:color w:val="auto"/>
                <w:sz w:val="22"/>
                <w:szCs w:val="22"/>
              </w:rPr>
            </w:pPr>
            <w:r>
              <w:rPr>
                <w:rFonts w:hint="eastAsia" w:ascii="Times New Roman" w:hAnsi="Times New Roman"/>
                <w:b/>
                <w:bCs/>
                <w:color w:val="auto"/>
                <w:sz w:val="22"/>
                <w:szCs w:val="22"/>
              </w:rPr>
              <w:t>平均班规模（人）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eastAsia="Times New Roman" w:cs="Times New Roman"/>
                <w:color w:val="auto"/>
                <w:sz w:val="22"/>
                <w:szCs w:val="22"/>
              </w:rPr>
            </w:pPr>
            <w:r>
              <w:rPr>
                <w:rFonts w:hint="eastAsia" w:ascii="Times New Roman" w:hAnsi="Times New Roman"/>
                <w:color w:val="auto"/>
                <w:sz w:val="22"/>
                <w:szCs w:val="22"/>
              </w:rPr>
              <w:t>公共必修课</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1373</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38.17</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56.22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eastAsia="Times New Roman" w:cs="Times New Roman"/>
                <w:color w:val="auto"/>
                <w:sz w:val="22"/>
                <w:szCs w:val="22"/>
              </w:rPr>
            </w:pPr>
            <w:r>
              <w:rPr>
                <w:rFonts w:hint="eastAsia" w:ascii="Times New Roman" w:hAnsi="Times New Roman"/>
                <w:color w:val="auto"/>
                <w:sz w:val="22"/>
                <w:szCs w:val="22"/>
              </w:rPr>
              <w:t>公共选修课</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32</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45.5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eastAsia="Times New Roman" w:cs="Times New Roman"/>
                <w:color w:val="auto"/>
                <w:sz w:val="22"/>
                <w:szCs w:val="22"/>
              </w:rPr>
            </w:pPr>
            <w:r>
              <w:rPr>
                <w:rFonts w:hint="eastAsia" w:ascii="Times New Roman" w:hAnsi="Times New Roman"/>
                <w:color w:val="auto"/>
                <w:sz w:val="22"/>
                <w:szCs w:val="22"/>
              </w:rPr>
              <w:t>专业课</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500</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1833</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42.63</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Times New Roman" w:hAnsi="Times New Roman" w:cs="Times New Roman"/>
                <w:color w:val="auto"/>
                <w:sz w:val="22"/>
                <w:szCs w:val="22"/>
              </w:rPr>
            </w:pPr>
            <w:r>
              <w:rPr>
                <w:rFonts w:ascii="Times New Roman" w:hAnsi="Times New Roman" w:cs="Times New Roman"/>
                <w:color w:val="auto"/>
                <w:sz w:val="22"/>
                <w:szCs w:val="22"/>
              </w:rPr>
              <w:t>44.87</w:t>
            </w:r>
          </w:p>
        </w:tc>
      </w:tr>
    </w:tbl>
    <w:p>
      <w:pPr>
        <w:ind w:firstLine="480" w:firstLineChars="200"/>
        <w:jc w:val="left"/>
        <w:rPr>
          <w:rFonts w:hint="eastAsia" w:ascii="宋体" w:hAnsi="宋体" w:eastAsia="宋体"/>
          <w:color w:val="auto"/>
          <w:sz w:val="24"/>
          <w:szCs w:val="24"/>
          <w:u w:val="none"/>
        </w:rPr>
      </w:pPr>
    </w:p>
    <w:p>
      <w:pPr>
        <w:pStyle w:val="3"/>
        <w:jc w:val="left"/>
      </w:pPr>
      <w:bookmarkStart w:id="22" w:name="_Toc2853"/>
      <w:r>
        <w:rPr>
          <w:rFonts w:hint="eastAsia" w:ascii="黑体" w:hAnsi="黑体" w:eastAsia="黑体"/>
          <w:sz w:val="28"/>
          <w:szCs w:val="28"/>
        </w:rPr>
        <w:t>（三）教材建设</w:t>
      </w:r>
      <w:bookmarkEnd w:id="22"/>
    </w:p>
    <w:p>
      <w:pPr>
        <w:ind w:firstLine="480" w:firstLineChars="200"/>
        <w:jc w:val="left"/>
        <w:rPr>
          <w:rFonts w:hint="eastAsia" w:ascii="宋体" w:hAnsi="宋体" w:eastAsia="宋体"/>
          <w:color w:val="auto"/>
          <w:sz w:val="24"/>
          <w:szCs w:val="24"/>
          <w:u w:val="none"/>
        </w:rPr>
      </w:pPr>
      <w:r>
        <w:rPr>
          <w:rFonts w:hint="eastAsia" w:ascii="宋体" w:hAnsi="宋体" w:eastAsia="宋体"/>
          <w:bCs w:val="0"/>
          <w:color w:val="auto"/>
          <w:sz w:val="24"/>
          <w:szCs w:val="24"/>
          <w:lang w:eastAsia="zh-CN"/>
        </w:rPr>
        <w:t>应用型</w:t>
      </w:r>
      <w:r>
        <w:rPr>
          <w:rFonts w:hint="eastAsia" w:ascii="宋体" w:hAnsi="宋体" w:eastAsia="宋体"/>
          <w:bCs w:val="0"/>
          <w:color w:val="auto"/>
          <w:sz w:val="24"/>
          <w:szCs w:val="24"/>
        </w:rPr>
        <w:t>教材建设是</w:t>
      </w:r>
      <w:r>
        <w:rPr>
          <w:rFonts w:hint="eastAsia" w:ascii="宋体" w:hAnsi="宋体" w:eastAsia="宋体"/>
          <w:bCs w:val="0"/>
          <w:color w:val="auto"/>
          <w:sz w:val="24"/>
          <w:szCs w:val="24"/>
          <w:lang w:val="en-US" w:eastAsia="zh-CN"/>
        </w:rPr>
        <w:t>学</w:t>
      </w:r>
      <w:r>
        <w:rPr>
          <w:rFonts w:hint="eastAsia" w:ascii="宋体" w:hAnsi="宋体" w:eastAsia="宋体"/>
          <w:bCs w:val="0"/>
          <w:color w:val="auto"/>
          <w:sz w:val="24"/>
          <w:szCs w:val="24"/>
          <w:lang w:eastAsia="zh-CN"/>
        </w:rPr>
        <w:t>校</w:t>
      </w:r>
      <w:r>
        <w:rPr>
          <w:rFonts w:hint="eastAsia" w:ascii="宋体" w:hAnsi="宋体" w:eastAsia="宋体"/>
          <w:bCs w:val="0"/>
          <w:color w:val="auto"/>
          <w:sz w:val="24"/>
          <w:szCs w:val="24"/>
        </w:rPr>
        <w:t>课程建设和教学改革的重要组成部分，是深化教学改革、提高教学质量的重要保证。</w:t>
      </w:r>
      <w:r>
        <w:rPr>
          <w:rFonts w:hint="eastAsia" w:ascii="宋体" w:hAnsi="宋体" w:eastAsia="宋体"/>
          <w:color w:val="auto"/>
          <w:sz w:val="24"/>
          <w:szCs w:val="24"/>
          <w:lang w:eastAsia="zh-CN"/>
        </w:rPr>
        <w:t>学校支持鼓励基础较好的院（部）和有较高学术造诣、教学经验丰富的教师根据教学需要编写符合学校专业特色和培养目标的适用教材。</w:t>
      </w:r>
      <w:r>
        <w:rPr>
          <w:rFonts w:hint="eastAsia" w:ascii="宋体" w:hAnsi="宋体" w:eastAsia="宋体"/>
          <w:color w:val="auto"/>
          <w:sz w:val="24"/>
          <w:szCs w:val="24"/>
          <w:u w:val="none"/>
        </w:rPr>
        <w:t>2017年，</w:t>
      </w:r>
      <w:r>
        <w:rPr>
          <w:rFonts w:hint="eastAsia" w:ascii="宋体" w:hAnsi="宋体" w:eastAsia="宋体"/>
          <w:color w:val="auto"/>
          <w:sz w:val="24"/>
          <w:szCs w:val="24"/>
          <w:u w:val="none"/>
          <w:lang w:eastAsia="zh-CN"/>
        </w:rPr>
        <w:t>学校</w:t>
      </w:r>
      <w:r>
        <w:rPr>
          <w:rFonts w:hint="eastAsia" w:ascii="宋体" w:hAnsi="宋体" w:eastAsia="宋体"/>
          <w:color w:val="auto"/>
          <w:sz w:val="24"/>
          <w:szCs w:val="24"/>
          <w:u w:val="none"/>
        </w:rPr>
        <w:t>共出版本校教师作为第一主编</w:t>
      </w:r>
      <w:r>
        <w:rPr>
          <w:rFonts w:hint="eastAsia" w:ascii="宋体" w:hAnsi="宋体" w:eastAsia="宋体"/>
          <w:color w:val="auto"/>
          <w:sz w:val="24"/>
          <w:szCs w:val="24"/>
          <w:u w:val="none"/>
          <w:lang w:eastAsia="zh-CN"/>
        </w:rPr>
        <w:t>的</w:t>
      </w:r>
      <w:r>
        <w:rPr>
          <w:rFonts w:hint="eastAsia" w:ascii="宋体" w:hAnsi="宋体" w:eastAsia="宋体"/>
          <w:color w:val="auto"/>
          <w:sz w:val="24"/>
          <w:szCs w:val="24"/>
          <w:u w:val="none"/>
        </w:rPr>
        <w:t>教材2种。</w:t>
      </w:r>
    </w:p>
    <w:p>
      <w:pPr>
        <w:keepNext w:val="0"/>
        <w:keepLines w:val="0"/>
        <w:widowControl/>
        <w:suppressLineNumbers w:val="0"/>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lang w:eastAsia="zh-CN"/>
        </w:rPr>
        <w:t>学校成立有教材建设工作委员会，出台《南宁学院教材管理规定》，对教材的选用、征订等流程做出明确要求。</w:t>
      </w:r>
      <w:r>
        <w:rPr>
          <w:rFonts w:hint="eastAsia" w:ascii="宋体" w:hAnsi="宋体" w:eastAsia="宋体"/>
          <w:bCs w:val="0"/>
          <w:color w:val="auto"/>
          <w:sz w:val="24"/>
          <w:szCs w:val="24"/>
        </w:rPr>
        <w:t>学校严格按照</w:t>
      </w:r>
      <w:r>
        <w:rPr>
          <w:rFonts w:hint="eastAsia" w:ascii="宋体" w:hAnsi="宋体" w:eastAsia="宋体"/>
          <w:bCs w:val="0"/>
          <w:color w:val="auto"/>
          <w:sz w:val="24"/>
          <w:szCs w:val="24"/>
          <w:lang w:eastAsia="zh-CN"/>
        </w:rPr>
        <w:t>教育部、自治区</w:t>
      </w:r>
      <w:r>
        <w:rPr>
          <w:rFonts w:hint="eastAsia" w:ascii="宋体" w:hAnsi="宋体" w:eastAsia="宋体"/>
          <w:bCs w:val="0"/>
          <w:color w:val="auto"/>
          <w:sz w:val="24"/>
          <w:szCs w:val="24"/>
        </w:rPr>
        <w:t>教育厅要求征订教材,渠道正规，始终紧扣</w:t>
      </w:r>
      <w:r>
        <w:rPr>
          <w:rFonts w:hint="eastAsia" w:ascii="宋体" w:hAnsi="宋体" w:eastAsia="宋体"/>
          <w:bCs w:val="0"/>
          <w:color w:val="auto"/>
          <w:sz w:val="24"/>
          <w:szCs w:val="24"/>
          <w:lang w:eastAsia="zh-CN"/>
        </w:rPr>
        <w:t>学校</w:t>
      </w:r>
      <w:r>
        <w:rPr>
          <w:rFonts w:hint="eastAsia" w:ascii="宋体" w:hAnsi="宋体" w:eastAsia="宋体"/>
          <w:bCs w:val="0"/>
          <w:color w:val="auto"/>
          <w:sz w:val="24"/>
          <w:szCs w:val="24"/>
        </w:rPr>
        <w:t>应用型人才的培养目标，以各专业主干课程教材及实验、实训、实习教材（指导书）为重点，严选应用</w:t>
      </w:r>
      <w:r>
        <w:rPr>
          <w:rFonts w:hint="eastAsia" w:ascii="宋体" w:hAnsi="宋体" w:eastAsia="宋体"/>
          <w:bCs w:val="0"/>
          <w:color w:val="auto"/>
          <w:sz w:val="24"/>
          <w:szCs w:val="24"/>
          <w:lang w:eastAsia="zh-CN"/>
        </w:rPr>
        <w:t>性</w:t>
      </w:r>
      <w:r>
        <w:rPr>
          <w:rFonts w:hint="eastAsia" w:ascii="宋体" w:hAnsi="宋体" w:eastAsia="宋体"/>
          <w:bCs w:val="0"/>
          <w:color w:val="auto"/>
          <w:sz w:val="24"/>
          <w:szCs w:val="24"/>
        </w:rPr>
        <w:t>较强的教材，确保教材征订</w:t>
      </w:r>
      <w:r>
        <w:rPr>
          <w:rFonts w:hint="eastAsia" w:ascii="宋体" w:hAnsi="宋体" w:eastAsia="宋体"/>
          <w:bCs w:val="0"/>
          <w:color w:val="auto"/>
          <w:sz w:val="24"/>
          <w:szCs w:val="24"/>
          <w:lang w:eastAsia="zh-CN"/>
        </w:rPr>
        <w:t>程序</w:t>
      </w:r>
      <w:r>
        <w:rPr>
          <w:rFonts w:hint="eastAsia" w:ascii="宋体" w:hAnsi="宋体" w:eastAsia="宋体"/>
          <w:bCs w:val="0"/>
          <w:color w:val="auto"/>
          <w:sz w:val="24"/>
          <w:szCs w:val="24"/>
        </w:rPr>
        <w:t>规范、手续齐全。</w:t>
      </w:r>
      <w:r>
        <w:rPr>
          <w:rFonts w:hint="eastAsia" w:ascii="宋体" w:hAnsi="宋体" w:eastAsia="宋体" w:cstheme="minorBidi"/>
          <w:color w:val="auto"/>
          <w:kern w:val="2"/>
          <w:sz w:val="24"/>
          <w:szCs w:val="24"/>
          <w:lang w:val="en-US" w:eastAsia="zh-CN" w:bidi="ar"/>
        </w:rPr>
        <w:t xml:space="preserve">2017-2018学年，学校共征订教材882种，合计22.2万册，其中，本科教材552种，13.1万册。教师自编讲义指导书等35种，编印15677册。 </w:t>
      </w:r>
    </w:p>
    <w:p>
      <w:pPr>
        <w:pStyle w:val="3"/>
        <w:jc w:val="left"/>
      </w:pPr>
      <w:bookmarkStart w:id="23" w:name="_Toc1335"/>
      <w:r>
        <w:rPr>
          <w:rFonts w:hint="eastAsia" w:ascii="黑体" w:hAnsi="黑体" w:eastAsia="黑体"/>
          <w:sz w:val="28"/>
          <w:szCs w:val="28"/>
        </w:rPr>
        <w:t>（四）实践教学</w:t>
      </w:r>
      <w:bookmarkEnd w:id="23"/>
    </w:p>
    <w:p>
      <w:pPr>
        <w:pStyle w:val="4"/>
        <w:ind w:firstLine="482" w:firstLineChars="200"/>
        <w:jc w:val="left"/>
        <w:rPr>
          <w:rFonts w:hint="eastAsia" w:eastAsia="黑体"/>
          <w:color w:val="auto"/>
          <w:lang w:eastAsia="zh-CN"/>
        </w:rPr>
      </w:pPr>
      <w:bookmarkStart w:id="24" w:name="_Toc7740"/>
      <w:bookmarkStart w:id="25" w:name="_Toc12117"/>
      <w:r>
        <w:rPr>
          <w:rFonts w:hint="eastAsia" w:ascii="黑体" w:hAnsi="黑体" w:eastAsia="黑体"/>
          <w:color w:val="auto"/>
          <w:sz w:val="24"/>
          <w:szCs w:val="24"/>
        </w:rPr>
        <w:t>1.</w:t>
      </w:r>
      <w:r>
        <w:rPr>
          <w:rFonts w:hint="eastAsia" w:ascii="黑体" w:hAnsi="黑体" w:eastAsia="黑体"/>
          <w:color w:val="auto"/>
          <w:sz w:val="24"/>
          <w:szCs w:val="24"/>
          <w:lang w:eastAsia="zh-CN"/>
        </w:rPr>
        <w:t>科学构建实践教学体系</w:t>
      </w:r>
      <w:bookmarkEnd w:id="24"/>
      <w:bookmarkEnd w:id="25"/>
    </w:p>
    <w:p>
      <w:pPr>
        <w:ind w:firstLine="480" w:firstLineChars="200"/>
        <w:jc w:val="lef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学校高度重视实践教学，改善实践教学条件，搭建实践平台，</w:t>
      </w:r>
      <w:r>
        <w:rPr>
          <w:rFonts w:hint="eastAsia" w:ascii="宋体" w:hAnsi="宋体" w:eastAsia="宋体"/>
          <w:color w:val="auto"/>
          <w:sz w:val="24"/>
          <w:szCs w:val="24"/>
          <w:lang w:val="en-US" w:eastAsia="zh-CN"/>
        </w:rPr>
        <w:t>改革实践教学模式，加强实践教学队伍建设，</w:t>
      </w:r>
      <w:r>
        <w:rPr>
          <w:rFonts w:hint="eastAsia" w:ascii="宋体" w:hAnsi="宋体" w:eastAsia="宋体"/>
          <w:color w:val="auto"/>
          <w:sz w:val="24"/>
          <w:szCs w:val="24"/>
          <w:lang w:eastAsia="zh-CN"/>
        </w:rPr>
        <w:t>构建与应用技术大学适应的完整实践教学体系，加强实践教学的管理，充分提高实践教学条件的使用效益。</w:t>
      </w:r>
    </w:p>
    <w:p>
      <w:pPr>
        <w:autoSpaceDE/>
        <w:autoSpaceDN/>
        <w:adjustRightInd/>
        <w:spacing w:line="240" w:lineRule="auto"/>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lang w:eastAsia="zh-CN"/>
        </w:rPr>
        <w:t>学校</w:t>
      </w:r>
      <w:r>
        <w:rPr>
          <w:rFonts w:hint="eastAsia" w:ascii="宋体" w:hAnsi="宋体" w:eastAsia="宋体"/>
          <w:color w:val="auto"/>
          <w:sz w:val="24"/>
          <w:szCs w:val="24"/>
        </w:rPr>
        <w:t>根据应用型人才的培养理念，优化实践教学体系，突出实践能力培养，大力推进实践教学改革，编制《南宁学院关于加强实践教学的实施方案》</w:t>
      </w:r>
      <w:r>
        <w:rPr>
          <w:rFonts w:hint="eastAsia" w:ascii="宋体" w:hAnsi="宋体" w:eastAsia="宋体"/>
          <w:color w:val="auto"/>
          <w:sz w:val="24"/>
          <w:szCs w:val="24"/>
          <w:lang w:eastAsia="zh-CN"/>
        </w:rPr>
        <w:t>，</w:t>
      </w:r>
      <w:r>
        <w:rPr>
          <w:rFonts w:hint="eastAsia" w:ascii="宋体" w:hAnsi="宋体" w:eastAsia="宋体"/>
          <w:color w:val="auto"/>
          <w:sz w:val="24"/>
          <w:szCs w:val="24"/>
        </w:rPr>
        <w:t>构建</w:t>
      </w:r>
      <w:r>
        <w:rPr>
          <w:rFonts w:hint="eastAsia" w:ascii="宋体" w:hAnsi="宋体" w:eastAsia="宋体"/>
          <w:bCs w:val="0"/>
          <w:color w:val="auto"/>
          <w:sz w:val="24"/>
          <w:szCs w:val="24"/>
        </w:rPr>
        <w:t>“三层次、六模块”的实践教学体系</w:t>
      </w:r>
      <w:r>
        <w:rPr>
          <w:rFonts w:hint="eastAsia" w:ascii="宋体" w:hAnsi="宋体" w:eastAsia="宋体"/>
          <w:color w:val="auto"/>
          <w:sz w:val="24"/>
          <w:szCs w:val="24"/>
        </w:rPr>
        <w:t>。</w:t>
      </w:r>
    </w:p>
    <w:p>
      <w:pPr>
        <w:autoSpaceDE/>
        <w:autoSpaceDN/>
        <w:adjustRightInd/>
        <w:spacing w:line="240" w:lineRule="auto"/>
        <w:ind w:firstLine="480" w:firstLineChars="200"/>
        <w:jc w:val="left"/>
        <w:rPr>
          <w:rFonts w:hint="eastAsia" w:ascii="宋体" w:hAnsi="宋体" w:eastAsia="宋体"/>
          <w:color w:val="auto"/>
          <w:sz w:val="24"/>
          <w:szCs w:val="24"/>
        </w:rPr>
      </w:pPr>
    </w:p>
    <w:p>
      <w:pPr>
        <w:autoSpaceDE/>
        <w:autoSpaceDN/>
        <w:adjustRightInd/>
        <w:spacing w:line="240" w:lineRule="auto"/>
        <w:ind w:firstLine="560" w:firstLineChars="200"/>
        <w:jc w:val="left"/>
        <w:rPr>
          <w:rFonts w:hint="eastAsia" w:ascii="宋体" w:hAnsi="宋体" w:eastAsia="宋体"/>
          <w:color w:val="auto"/>
          <w:sz w:val="24"/>
          <w:szCs w:val="24"/>
        </w:rPr>
      </w:pPr>
      <w:r>
        <w:rPr>
          <w:rFonts w:asciiTheme="minorEastAsia" w:hAnsiTheme="minorEastAsia"/>
          <w:color w:val="FF0000"/>
          <w:sz w:val="28"/>
          <w:szCs w:val="28"/>
        </w:rPr>
        <w:drawing>
          <wp:inline distT="0" distB="0" distL="114300" distR="114300">
            <wp:extent cx="4561205" cy="2593340"/>
            <wp:effectExtent l="0" t="0" r="10795" b="1651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3" cstate="print"/>
                    <a:srcRect l="28841" t="31044" r="26963" b="10432"/>
                    <a:stretch>
                      <a:fillRect/>
                    </a:stretch>
                  </pic:blipFill>
                  <pic:spPr>
                    <a:xfrm>
                      <a:off x="0" y="0"/>
                      <a:ext cx="4561205" cy="2593340"/>
                    </a:xfrm>
                    <a:prstGeom prst="rect">
                      <a:avLst/>
                    </a:prstGeom>
                    <a:noFill/>
                    <a:ln w="9525">
                      <a:noFill/>
                      <a:miter lim="800000"/>
                      <a:headEnd/>
                      <a:tailEnd/>
                    </a:ln>
                  </pic:spPr>
                </pic:pic>
              </a:graphicData>
            </a:graphic>
          </wp:inline>
        </w:drawing>
      </w:r>
      <w:r>
        <w:rPr>
          <w:rFonts w:hint="eastAsia" w:ascii="宋体" w:hAnsi="宋体" w:eastAsia="宋体"/>
          <w:color w:val="auto"/>
          <w:sz w:val="24"/>
          <w:szCs w:val="24"/>
        </w:rPr>
        <w:t xml:space="preserve"> </w:t>
      </w:r>
    </w:p>
    <w:p>
      <w:pPr>
        <w:autoSpaceDE/>
        <w:autoSpaceDN/>
        <w:adjustRightInd/>
        <w:spacing w:line="240" w:lineRule="auto"/>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 xml:space="preserve">    图3  南宁学院实践教学体系</w:t>
      </w:r>
    </w:p>
    <w:p>
      <w:pPr>
        <w:pStyle w:val="4"/>
        <w:ind w:firstLine="482" w:firstLineChars="200"/>
        <w:rPr>
          <w:rFonts w:hint="eastAsia" w:ascii="黑体" w:hAnsi="黑体" w:eastAsia="黑体"/>
          <w:b/>
          <w:color w:val="auto"/>
          <w:sz w:val="24"/>
          <w:szCs w:val="24"/>
        </w:rPr>
      </w:pPr>
      <w:bookmarkStart w:id="26" w:name="_Toc29713"/>
      <w:bookmarkStart w:id="27" w:name="_Toc23662"/>
      <w:r>
        <w:rPr>
          <w:rFonts w:hint="eastAsia" w:ascii="黑体" w:hAnsi="黑体" w:eastAsia="黑体"/>
          <w:b/>
          <w:color w:val="auto"/>
          <w:sz w:val="24"/>
          <w:szCs w:val="24"/>
          <w:lang w:val="en-US" w:eastAsia="zh-CN"/>
        </w:rPr>
        <w:t>2.持续</w:t>
      </w:r>
      <w:r>
        <w:rPr>
          <w:rFonts w:hint="eastAsia" w:ascii="黑体" w:hAnsi="黑体" w:eastAsia="黑体"/>
          <w:b/>
          <w:color w:val="auto"/>
          <w:sz w:val="24"/>
          <w:szCs w:val="24"/>
        </w:rPr>
        <w:t>规范实验教学管理</w:t>
      </w:r>
      <w:bookmarkEnd w:id="26"/>
      <w:bookmarkEnd w:id="27"/>
    </w:p>
    <w:p>
      <w:pPr>
        <w:ind w:firstLine="480" w:firstLineChars="200"/>
        <w:rPr>
          <w:rFonts w:hint="eastAsia" w:eastAsia="宋体" w:asciiTheme="minorHAnsi" w:hAnsiTheme="minorHAnsi"/>
          <w:sz w:val="21"/>
          <w:szCs w:val="22"/>
          <w:lang w:val="en-US" w:eastAsia="zh-CN"/>
        </w:rPr>
      </w:pPr>
      <w:r>
        <w:rPr>
          <w:rFonts w:hint="eastAsia" w:ascii="宋体" w:hAnsi="宋体" w:eastAsia="宋体"/>
          <w:color w:val="auto"/>
          <w:sz w:val="24"/>
          <w:szCs w:val="24"/>
          <w:lang w:eastAsia="zh-CN"/>
        </w:rPr>
        <w:t>实验教学是应用型人才培养的重要环节，也是体现学校教学管理科学、规范</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lang w:eastAsia="zh-CN"/>
        </w:rPr>
        <w:t>的重要参考。学校通过制度建设、过程管理、人员保障等方面持续规范实验教学管理。</w:t>
      </w:r>
      <w:r>
        <w:rPr>
          <w:rFonts w:hint="eastAsia" w:ascii="宋体" w:hAnsi="宋体" w:eastAsia="宋体"/>
          <w:color w:val="auto"/>
          <w:sz w:val="24"/>
          <w:szCs w:val="24"/>
        </w:rPr>
        <w:t>一是完善实验教学管理制度完善，出台《南宁学院实验教学管理办法》《南宁学院开放性、设计性、综合性实验认定办法》、《实践教学经费管理办法》等文件，规范了实验教学行为。二是编制实验教学大纲，明确实验项目与实验内容。三是逐步加大实验室开放力度，同时增加综合性、设计性实验项目数。全校目前有开放性实验室 59个，2017-2018学年面向全校学生开放项目有131项。</w:t>
      </w:r>
      <w:r>
        <w:rPr>
          <w:rFonts w:hint="eastAsia" w:ascii="宋体" w:hAnsi="宋体" w:eastAsia="宋体"/>
          <w:color w:val="auto"/>
          <w:sz w:val="24"/>
          <w:szCs w:val="24"/>
          <w:lang w:eastAsia="zh-CN"/>
        </w:rPr>
        <w:t>四是加强实验技术人员队伍建设，现</w:t>
      </w:r>
      <w:r>
        <w:rPr>
          <w:rFonts w:hint="eastAsia" w:ascii="宋体" w:hAnsi="宋体" w:eastAsia="宋体"/>
          <w:color w:val="auto"/>
          <w:sz w:val="24"/>
          <w:szCs w:val="24"/>
        </w:rPr>
        <w:t>有实验技术人员31人，具有高级职称6人，所占比例为19.35%，具有硕士及以上学位3人，所占比例为9.68%。</w:t>
      </w:r>
    </w:p>
    <w:p>
      <w:pPr>
        <w:pStyle w:val="4"/>
        <w:ind w:firstLine="422" w:firstLineChars="200"/>
        <w:jc w:val="left"/>
        <w:rPr>
          <w:rFonts w:hint="eastAsia" w:eastAsia="黑体"/>
          <w:color w:val="auto"/>
          <w:lang w:eastAsia="zh-CN"/>
        </w:rPr>
      </w:pPr>
      <w:bookmarkStart w:id="28" w:name="_Toc22465"/>
      <w:bookmarkStart w:id="29" w:name="_Toc26954"/>
      <w:r>
        <w:rPr>
          <w:rFonts w:hint="eastAsia" w:ascii="宋体" w:hAnsi="宋体" w:eastAsia="宋体"/>
          <w:sz w:val="21"/>
          <w:szCs w:val="21"/>
          <w:lang w:val="en-US" w:eastAsia="zh-CN"/>
        </w:rPr>
        <w:t>3</w:t>
      </w:r>
      <w:r>
        <w:rPr>
          <w:rFonts w:hint="eastAsia" w:ascii="黑体" w:hAnsi="黑体" w:eastAsia="黑体"/>
          <w:color w:val="auto"/>
          <w:sz w:val="24"/>
          <w:szCs w:val="24"/>
        </w:rPr>
        <w:t>.</w:t>
      </w:r>
      <w:r>
        <w:rPr>
          <w:rFonts w:hint="eastAsia" w:ascii="黑体" w:hAnsi="黑体" w:eastAsia="黑体"/>
          <w:color w:val="auto"/>
          <w:sz w:val="24"/>
          <w:szCs w:val="24"/>
          <w:lang w:eastAsia="zh-CN"/>
        </w:rPr>
        <w:t>加强</w:t>
      </w:r>
      <w:r>
        <w:rPr>
          <w:rFonts w:hint="eastAsia" w:ascii="黑体" w:hAnsi="黑体" w:eastAsia="黑体"/>
          <w:color w:val="auto"/>
          <w:sz w:val="24"/>
          <w:szCs w:val="24"/>
        </w:rPr>
        <w:t>实习与教学实践基地</w:t>
      </w:r>
      <w:r>
        <w:rPr>
          <w:rFonts w:hint="eastAsia" w:ascii="黑体" w:hAnsi="黑体" w:eastAsia="黑体"/>
          <w:color w:val="auto"/>
          <w:sz w:val="24"/>
          <w:szCs w:val="24"/>
          <w:lang w:eastAsia="zh-CN"/>
        </w:rPr>
        <w:t>建设</w:t>
      </w:r>
      <w:bookmarkEnd w:id="28"/>
      <w:bookmarkEnd w:id="29"/>
    </w:p>
    <w:p>
      <w:pPr>
        <w:spacing w:line="24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学校紧扣应用型人才培养规格和目标，加强对学生实践能力和创新精神的培养。长期坚持校内外结合、课</w:t>
      </w:r>
      <w:r>
        <w:rPr>
          <w:rFonts w:hint="eastAsia" w:ascii="宋体" w:hAnsi="宋体" w:eastAsia="宋体"/>
          <w:color w:val="auto"/>
          <w:sz w:val="24"/>
          <w:szCs w:val="24"/>
          <w:u w:val="none"/>
        </w:rPr>
        <w:t>内外融合，加大投入、完善管理，并建立了长期稳固的校外实习基地。实习实训做到了体系科学合理、时间和经费有保证，效果显著。</w:t>
      </w:r>
      <w:r>
        <w:rPr>
          <w:rFonts w:hint="eastAsia" w:ascii="宋体" w:hAnsi="宋体" w:eastAsia="宋体"/>
          <w:color w:val="auto"/>
          <w:sz w:val="24"/>
          <w:szCs w:val="24"/>
        </w:rPr>
        <w:t>一是学校高度重视校企合作共建各种不同层次的实习实训平台。目前</w:t>
      </w:r>
      <w:r>
        <w:rPr>
          <w:rFonts w:hint="eastAsia" w:ascii="宋体" w:hAnsi="宋体" w:eastAsia="宋体"/>
          <w:color w:val="auto"/>
          <w:sz w:val="24"/>
          <w:szCs w:val="24"/>
          <w:lang w:eastAsia="zh-CN"/>
        </w:rPr>
        <w:t>有</w:t>
      </w:r>
      <w:r>
        <w:rPr>
          <w:rFonts w:hint="eastAsia" w:ascii="宋体" w:hAnsi="宋体" w:eastAsia="宋体"/>
          <w:color w:val="auto"/>
          <w:sz w:val="24"/>
          <w:szCs w:val="24"/>
        </w:rPr>
        <w:t>校外相对稳定的实习实训基地188个，每个专业约建立有1－8家实习实训基地。二是学校制定了实习实训管理办法以及实习实训教学质量标准，规范实习管理过程，按照教学大纲执行。三是对实习提供经费保障，并逐年提高，近三年生均实习经费43元、45元、135元。四是安排专业教师及企业技术人员、管理人员担任实习指导教师，实行双导师制，加强管理。2018年，到校外实习实训基地的学生人数达3403人次。</w:t>
      </w:r>
    </w:p>
    <w:p>
      <w:pPr>
        <w:pStyle w:val="3"/>
        <w:jc w:val="left"/>
        <w:rPr>
          <w:rFonts w:hint="eastAsia" w:ascii="黑体" w:hAnsi="黑体" w:eastAsia="黑体"/>
          <w:sz w:val="28"/>
          <w:szCs w:val="28"/>
        </w:rPr>
      </w:pPr>
      <w:bookmarkStart w:id="30" w:name="_Toc717"/>
      <w:r>
        <w:rPr>
          <w:rFonts w:hint="eastAsia" w:ascii="黑体" w:hAnsi="黑体" w:eastAsia="黑体"/>
          <w:sz w:val="28"/>
          <w:szCs w:val="28"/>
        </w:rPr>
        <w:t>（</w:t>
      </w:r>
      <w:r>
        <w:rPr>
          <w:rFonts w:hint="eastAsia" w:ascii="黑体" w:hAnsi="黑体" w:eastAsia="黑体"/>
          <w:sz w:val="28"/>
          <w:szCs w:val="28"/>
          <w:lang w:eastAsia="zh-CN"/>
        </w:rPr>
        <w:t>五</w:t>
      </w:r>
      <w:r>
        <w:rPr>
          <w:rFonts w:hint="eastAsia" w:ascii="黑体" w:hAnsi="黑体" w:eastAsia="黑体"/>
          <w:sz w:val="28"/>
          <w:szCs w:val="28"/>
        </w:rPr>
        <w:t>）创新创业教育</w:t>
      </w:r>
      <w:bookmarkEnd w:id="30"/>
    </w:p>
    <w:p>
      <w:pPr>
        <w:spacing w:line="240" w:lineRule="auto"/>
        <w:ind w:firstLine="480" w:firstLineChars="200"/>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创新创业教育是</w:t>
      </w:r>
      <w:r>
        <w:rPr>
          <w:rFonts w:hint="eastAsia" w:ascii="宋体" w:hAnsi="宋体" w:eastAsia="宋体"/>
          <w:color w:val="auto"/>
          <w:sz w:val="24"/>
          <w:szCs w:val="24"/>
          <w:lang w:val="en-US" w:eastAsia="zh-CN"/>
        </w:rPr>
        <w:t>高等教育供给侧结构性改革的重要组成部分</w:t>
      </w:r>
      <w:r>
        <w:rPr>
          <w:rFonts w:hint="eastAsia" w:ascii="宋体" w:hAnsi="宋体" w:eastAsia="宋体"/>
          <w:color w:val="auto"/>
          <w:sz w:val="24"/>
          <w:szCs w:val="24"/>
          <w:lang w:eastAsia="zh-CN"/>
        </w:rPr>
        <w:t>，是应用型人才培养的突破口，</w:t>
      </w:r>
      <w:r>
        <w:rPr>
          <w:rFonts w:hint="eastAsia" w:ascii="宋体" w:hAnsi="宋体" w:eastAsia="宋体"/>
          <w:color w:val="auto"/>
          <w:sz w:val="24"/>
          <w:szCs w:val="24"/>
        </w:rPr>
        <w:t>学校</w:t>
      </w:r>
      <w:r>
        <w:rPr>
          <w:rFonts w:hint="eastAsia" w:ascii="宋体" w:hAnsi="宋体" w:eastAsia="宋体"/>
          <w:color w:val="auto"/>
          <w:sz w:val="24"/>
          <w:szCs w:val="24"/>
          <w:lang w:eastAsia="zh-CN"/>
        </w:rPr>
        <w:t>将“创业有能力”列为人才培养目标规格之一，将创新创业教育摆在第一课堂位置进行重点建设。</w:t>
      </w:r>
    </w:p>
    <w:p>
      <w:pPr>
        <w:ind w:firstLine="480" w:firstLineChars="200"/>
        <w:jc w:val="both"/>
        <w:rPr>
          <w:rFonts w:hint="eastAsia" w:ascii="宋体" w:hAnsi="宋体" w:eastAsia="宋体"/>
          <w:bCs/>
          <w:sz w:val="24"/>
          <w:szCs w:val="24"/>
          <w:u w:val="none"/>
          <w:lang w:val="en-US" w:eastAsia="zh-CN"/>
        </w:rPr>
      </w:pPr>
      <w:r>
        <w:rPr>
          <w:rFonts w:hint="eastAsia" w:ascii="宋体" w:hAnsi="宋体" w:eastAsia="宋体" w:cstheme="minorBidi"/>
          <w:bCs/>
          <w:sz w:val="24"/>
          <w:szCs w:val="24"/>
          <w:lang w:eastAsia="zh-CN"/>
        </w:rPr>
        <w:t>完善创新创业教育课程体系。</w:t>
      </w:r>
      <w:r>
        <w:rPr>
          <w:rFonts w:hint="eastAsia" w:ascii="宋体" w:hAnsi="宋体" w:eastAsia="宋体"/>
          <w:bCs/>
          <w:sz w:val="24"/>
          <w:szCs w:val="24"/>
          <w:u w:val="none"/>
          <w:lang w:val="en-US" w:eastAsia="zh-CN"/>
        </w:rPr>
        <w:t>2017-2018学年，学校</w:t>
      </w:r>
      <w:r>
        <w:rPr>
          <w:rFonts w:hint="eastAsia" w:ascii="宋体" w:hAnsi="宋体" w:eastAsia="宋体" w:cstheme="minorBidi"/>
          <w:bCs/>
          <w:sz w:val="24"/>
          <w:szCs w:val="24"/>
        </w:rPr>
        <w:t>在2017年已基本构建起创新创业课程体系上继续完善，</w:t>
      </w:r>
      <w:r>
        <w:rPr>
          <w:rFonts w:hint="eastAsia" w:ascii="宋体" w:hAnsi="宋体" w:eastAsia="宋体"/>
          <w:bCs/>
          <w:sz w:val="24"/>
          <w:szCs w:val="24"/>
          <w:u w:val="none"/>
          <w:lang w:val="en-US" w:eastAsia="zh-CN"/>
        </w:rPr>
        <w:t>在全校范围内开设了创新创业基础课程4门、职业生涯规划及就业指导课程1门，其中创新创业优质课1门；</w:t>
      </w:r>
      <w:r>
        <w:rPr>
          <w:rFonts w:hint="eastAsia" w:ascii="宋体" w:hAnsi="宋体" w:eastAsia="宋体" w:cstheme="minorBidi"/>
          <w:bCs/>
          <w:sz w:val="24"/>
          <w:szCs w:val="24"/>
        </w:rPr>
        <w:t>各个二级学院针对专业特点，开设其他选修课，并将创新创业融入专业课中，继续完善创新创业课程体系</w:t>
      </w:r>
      <w:r>
        <w:rPr>
          <w:rFonts w:hint="eastAsia" w:ascii="宋体" w:hAnsi="宋体" w:eastAsia="宋体"/>
          <w:bCs/>
          <w:sz w:val="24"/>
          <w:szCs w:val="24"/>
          <w:u w:val="none"/>
          <w:lang w:val="en-US" w:eastAsia="zh-CN"/>
        </w:rPr>
        <w:t>，举办创新创业讲座12次，实现了创新创业教育的全员普及，基本搭建起创新创业课程体系。</w:t>
      </w:r>
    </w:p>
    <w:p>
      <w:pPr>
        <w:ind w:firstLine="480" w:firstLineChars="200"/>
        <w:jc w:val="both"/>
        <w:rPr>
          <w:rFonts w:hint="eastAsia" w:ascii="宋体" w:hAnsi="宋体" w:eastAsia="宋体" w:cstheme="minorBidi"/>
          <w:bCs/>
          <w:sz w:val="24"/>
          <w:szCs w:val="24"/>
        </w:rPr>
      </w:pPr>
      <w:r>
        <w:rPr>
          <w:rFonts w:hint="eastAsia" w:ascii="宋体" w:hAnsi="宋体" w:eastAsia="宋体"/>
          <w:bCs/>
          <w:sz w:val="24"/>
          <w:szCs w:val="24"/>
          <w:u w:val="none"/>
          <w:lang w:eastAsia="zh-CN"/>
        </w:rPr>
        <w:t>实施“金土地工程”，完善创新创业教育实践平台。</w:t>
      </w:r>
      <w:r>
        <w:rPr>
          <w:rFonts w:hint="eastAsia" w:ascii="宋体" w:hAnsi="宋体" w:eastAsia="宋体"/>
          <w:bCs/>
          <w:sz w:val="24"/>
          <w:szCs w:val="24"/>
          <w:u w:val="none"/>
        </w:rPr>
        <w:t>学校</w:t>
      </w:r>
      <w:r>
        <w:rPr>
          <w:rFonts w:hint="eastAsia" w:ascii="宋体" w:hAnsi="宋体" w:eastAsia="宋体"/>
          <w:bCs/>
          <w:sz w:val="24"/>
          <w:szCs w:val="24"/>
          <w:u w:val="none"/>
          <w:lang w:eastAsia="zh-CN"/>
        </w:rPr>
        <w:t>成立有创新创业学院；</w:t>
      </w:r>
      <w:r>
        <w:rPr>
          <w:rFonts w:hint="eastAsia" w:ascii="宋体" w:hAnsi="宋体" w:eastAsia="宋体"/>
          <w:bCs/>
          <w:sz w:val="24"/>
          <w:szCs w:val="24"/>
          <w:u w:val="none"/>
        </w:rPr>
        <w:t>设立创新创业教育机构</w:t>
      </w:r>
      <w:r>
        <w:rPr>
          <w:rFonts w:hint="eastAsia" w:ascii="宋体" w:hAnsi="宋体" w:eastAsia="宋体"/>
          <w:bCs/>
          <w:sz w:val="24"/>
          <w:szCs w:val="24"/>
          <w:u w:val="none"/>
          <w:lang w:val="en-US" w:eastAsia="zh-CN"/>
        </w:rPr>
        <w:t>9</w:t>
      </w:r>
      <w:r>
        <w:rPr>
          <w:rFonts w:hint="eastAsia" w:ascii="宋体" w:hAnsi="宋体" w:eastAsia="宋体"/>
          <w:bCs/>
          <w:sz w:val="24"/>
          <w:szCs w:val="24"/>
          <w:u w:val="none"/>
        </w:rPr>
        <w:t>个</w:t>
      </w:r>
      <w:r>
        <w:rPr>
          <w:rFonts w:hint="eastAsia" w:ascii="宋体" w:hAnsi="宋体" w:eastAsia="宋体"/>
          <w:bCs/>
          <w:sz w:val="24"/>
          <w:szCs w:val="24"/>
          <w:u w:val="none"/>
          <w:lang w:eastAsia="zh-CN"/>
        </w:rPr>
        <w:t>；</w:t>
      </w:r>
      <w:r>
        <w:rPr>
          <w:rFonts w:hint="eastAsia" w:ascii="宋体" w:hAnsi="宋体" w:eastAsia="宋体"/>
          <w:bCs/>
          <w:sz w:val="24"/>
          <w:szCs w:val="24"/>
          <w:u w:val="none"/>
          <w:lang w:val="en-US" w:eastAsia="zh-CN"/>
        </w:rPr>
        <w:t>创业实习基地15个，其中创业示范基地1个</w:t>
      </w:r>
      <w:r>
        <w:rPr>
          <w:rFonts w:hint="eastAsia" w:ascii="宋体" w:hAnsi="宋体" w:eastAsia="宋体"/>
          <w:bCs/>
          <w:sz w:val="24"/>
          <w:szCs w:val="24"/>
          <w:u w:val="none"/>
          <w:lang w:eastAsia="zh-CN"/>
        </w:rPr>
        <w:t>；</w:t>
      </w:r>
      <w:r>
        <w:rPr>
          <w:rFonts w:hint="eastAsia" w:ascii="宋体" w:hAnsi="宋体" w:eastAsia="宋体"/>
          <w:bCs/>
          <w:sz w:val="24"/>
          <w:szCs w:val="24"/>
          <w:u w:val="none"/>
          <w:lang w:val="en-US" w:eastAsia="zh-CN"/>
        </w:rPr>
        <w:t>设立有创新创业教育实践平台2个；</w:t>
      </w:r>
      <w:r>
        <w:rPr>
          <w:rFonts w:hint="eastAsia" w:ascii="宋体" w:hAnsi="宋体" w:eastAsia="宋体" w:cstheme="minorBidi"/>
          <w:bCs/>
          <w:sz w:val="24"/>
          <w:szCs w:val="24"/>
        </w:rPr>
        <w:t>创新创业师资活动中心和创意基地</w:t>
      </w:r>
      <w:r>
        <w:rPr>
          <w:rFonts w:hint="eastAsia" w:ascii="宋体" w:hAnsi="宋体" w:eastAsia="宋体" w:cstheme="minorBidi"/>
          <w:bCs/>
          <w:sz w:val="24"/>
          <w:szCs w:val="24"/>
          <w:lang w:eastAsia="zh-CN"/>
        </w:rPr>
        <w:t>基本建成；</w:t>
      </w:r>
      <w:r>
        <w:rPr>
          <w:rFonts w:hint="eastAsia" w:ascii="宋体" w:hAnsi="宋体" w:eastAsia="宋体" w:cstheme="minorBidi"/>
          <w:bCs/>
          <w:sz w:val="24"/>
          <w:szCs w:val="24"/>
        </w:rPr>
        <w:t>大学生创业园升级</w:t>
      </w:r>
      <w:r>
        <w:rPr>
          <w:rFonts w:hint="eastAsia" w:ascii="宋体" w:hAnsi="宋体" w:eastAsia="宋体" w:cstheme="minorBidi"/>
          <w:bCs/>
          <w:sz w:val="24"/>
          <w:szCs w:val="24"/>
          <w:lang w:eastAsia="zh-CN"/>
        </w:rPr>
        <w:t>建设</w:t>
      </w:r>
      <w:r>
        <w:rPr>
          <w:rFonts w:hint="eastAsia" w:ascii="宋体" w:hAnsi="宋体" w:eastAsia="宋体" w:cstheme="minorBidi"/>
          <w:bCs/>
          <w:sz w:val="24"/>
          <w:szCs w:val="24"/>
        </w:rPr>
        <w:t>，可容纳100家企业“阳明创新空间”已启动设计，内含科技创客区、艺术创客区以及商业实践区，创新创业实践环境将得到进一步优化。</w:t>
      </w:r>
    </w:p>
    <w:p>
      <w:pPr>
        <w:ind w:firstLine="480" w:firstLineChars="200"/>
        <w:rPr>
          <w:rFonts w:hint="eastAsia" w:ascii="宋体" w:hAnsi="宋体" w:eastAsia="宋体" w:cstheme="minorBidi"/>
          <w:sz w:val="24"/>
          <w:szCs w:val="24"/>
          <w:u w:val="none"/>
        </w:rPr>
      </w:pPr>
      <w:r>
        <w:rPr>
          <w:rFonts w:hint="eastAsia" w:ascii="宋体" w:hAnsi="宋体" w:eastAsia="宋体"/>
          <w:sz w:val="24"/>
          <w:szCs w:val="24"/>
          <w:u w:val="none"/>
          <w:lang w:val="en-US" w:eastAsia="zh-CN"/>
        </w:rPr>
        <w:t>实施“金园丁工程”，加强创新创业教育师资队伍建设。学校拥有全区高校最大的具备</w:t>
      </w:r>
      <w:r>
        <w:rPr>
          <w:rFonts w:hint="eastAsia" w:ascii="宋体" w:hAnsi="宋体" w:eastAsia="宋体" w:cstheme="minorBidi"/>
          <w:sz w:val="24"/>
          <w:szCs w:val="24"/>
          <w:u w:val="none"/>
        </w:rPr>
        <w:t>国家技师职业资格的创新创业导师</w:t>
      </w:r>
      <w:r>
        <w:rPr>
          <w:rFonts w:hint="eastAsia" w:ascii="宋体" w:hAnsi="宋体" w:eastAsia="宋体" w:cstheme="minorBidi"/>
          <w:sz w:val="24"/>
          <w:szCs w:val="24"/>
          <w:u w:val="none"/>
          <w:lang w:val="en-US" w:eastAsia="zh-CN"/>
        </w:rPr>
        <w:t>83人</w:t>
      </w:r>
      <w:r>
        <w:rPr>
          <w:rFonts w:hint="eastAsia" w:ascii="宋体" w:hAnsi="宋体" w:eastAsia="宋体"/>
          <w:sz w:val="24"/>
          <w:szCs w:val="24"/>
          <w:u w:val="none"/>
          <w:lang w:val="en-US" w:eastAsia="zh-CN"/>
        </w:rPr>
        <w:t>，</w:t>
      </w:r>
      <w:r>
        <w:rPr>
          <w:rFonts w:hint="eastAsia" w:ascii="宋体" w:hAnsi="宋体" w:eastAsia="宋体"/>
          <w:sz w:val="24"/>
          <w:szCs w:val="24"/>
          <w:u w:val="none"/>
        </w:rPr>
        <w:t>创新创业教育专职教师4人</w:t>
      </w:r>
      <w:r>
        <w:rPr>
          <w:rFonts w:hint="eastAsia" w:ascii="宋体" w:hAnsi="宋体" w:eastAsia="宋体"/>
          <w:sz w:val="24"/>
          <w:szCs w:val="24"/>
          <w:u w:val="none"/>
          <w:lang w:eastAsia="zh-CN"/>
        </w:rPr>
        <w:t>、</w:t>
      </w:r>
      <w:r>
        <w:rPr>
          <w:rFonts w:hint="eastAsia" w:ascii="宋体" w:hAnsi="宋体" w:eastAsia="宋体"/>
          <w:sz w:val="24"/>
          <w:szCs w:val="24"/>
          <w:u w:val="none"/>
          <w:lang w:val="en-US" w:eastAsia="zh-CN"/>
        </w:rPr>
        <w:t>校内创新创业教育兼职导师124人、校外创新创业导师58人。2018年，学校43名创业导师入选自治区首批优秀创新创业导师人才库，4名创新创业导师入围全国万名优秀创新创业导师库；</w:t>
      </w:r>
      <w:r>
        <w:rPr>
          <w:rFonts w:hint="eastAsia" w:ascii="宋体" w:hAnsi="宋体" w:eastAsia="宋体" w:cstheme="minorBidi"/>
          <w:sz w:val="24"/>
          <w:szCs w:val="24"/>
          <w:u w:val="none"/>
        </w:rPr>
        <w:t>对已有的83位拥有国家技师职业资格的创新创业导师开展持续提升，组织了13场次培训，保证金园丁的金色</w:t>
      </w:r>
      <w:r>
        <w:rPr>
          <w:rFonts w:hint="eastAsia" w:ascii="宋体" w:hAnsi="宋体" w:eastAsia="宋体" w:cstheme="minorBidi"/>
          <w:sz w:val="24"/>
          <w:szCs w:val="24"/>
          <w:u w:val="none"/>
          <w:lang w:eastAsia="zh-CN"/>
        </w:rPr>
        <w:t>；引进国际上创新创业教育最优质资源——</w:t>
      </w:r>
      <w:r>
        <w:rPr>
          <w:rFonts w:hint="eastAsia" w:ascii="宋体" w:hAnsi="宋体" w:eastAsia="宋体" w:cstheme="minorBidi"/>
          <w:sz w:val="24"/>
          <w:szCs w:val="24"/>
          <w:u w:val="none"/>
        </w:rPr>
        <w:t>斯坦福大学</w:t>
      </w:r>
      <w:r>
        <w:rPr>
          <w:rFonts w:hint="eastAsia" w:ascii="宋体" w:hAnsi="宋体" w:eastAsia="宋体" w:cstheme="minorBidi"/>
          <w:sz w:val="24"/>
          <w:szCs w:val="24"/>
          <w:u w:val="none"/>
          <w:lang w:eastAsia="zh-CN"/>
        </w:rPr>
        <w:t>创新创业教育导师课程实验中心，</w:t>
      </w:r>
      <w:r>
        <w:rPr>
          <w:rFonts w:hint="eastAsia" w:ascii="宋体" w:hAnsi="宋体" w:eastAsia="宋体" w:cstheme="minorBidi"/>
          <w:sz w:val="24"/>
          <w:szCs w:val="24"/>
          <w:u w:val="none"/>
        </w:rPr>
        <w:t>斯坦福大学将为我校培养20位具有国际水准，持有斯坦福认证的创新创业导师</w:t>
      </w:r>
      <w:r>
        <w:rPr>
          <w:rFonts w:hint="eastAsia" w:ascii="宋体" w:hAnsi="宋体" w:eastAsia="宋体" w:cstheme="minorBidi"/>
          <w:sz w:val="24"/>
          <w:szCs w:val="24"/>
          <w:u w:val="none"/>
          <w:lang w:eastAsia="zh-CN"/>
        </w:rPr>
        <w:t>；</w:t>
      </w:r>
      <w:r>
        <w:rPr>
          <w:rFonts w:hint="eastAsia" w:ascii="宋体" w:hAnsi="宋体" w:eastAsia="宋体" w:cstheme="minorBidi"/>
          <w:sz w:val="24"/>
          <w:szCs w:val="24"/>
          <w:u w:val="none"/>
        </w:rPr>
        <w:t>启动了职业生涯规划金导师培育计划，首批61名导师已完成培训并通过考核。</w:t>
      </w:r>
    </w:p>
    <w:p>
      <w:pPr>
        <w:ind w:firstLine="480" w:firstLineChars="200"/>
        <w:jc w:val="both"/>
        <w:rPr>
          <w:rFonts w:hint="eastAsia" w:ascii="宋体" w:hAnsi="宋体" w:eastAsia="宋体"/>
          <w:sz w:val="24"/>
          <w:szCs w:val="24"/>
          <w:u w:val="none"/>
          <w:lang w:val="en-US" w:eastAsia="zh-CN"/>
        </w:rPr>
      </w:pPr>
      <w:r>
        <w:rPr>
          <w:rFonts w:hint="eastAsia" w:ascii="宋体" w:hAnsi="宋体" w:eastAsia="宋体" w:cstheme="minorBidi"/>
          <w:sz w:val="24"/>
          <w:szCs w:val="24"/>
          <w:u w:val="none"/>
          <w:lang w:eastAsia="zh-CN"/>
        </w:rPr>
        <w:t>实施“金种子工程”，培育学生创新创业实践能力。学校</w:t>
      </w:r>
      <w:r>
        <w:rPr>
          <w:rFonts w:hint="eastAsia" w:ascii="宋体" w:hAnsi="宋体" w:eastAsia="宋体" w:cstheme="minorBidi"/>
          <w:kern w:val="2"/>
          <w:sz w:val="24"/>
          <w:szCs w:val="24"/>
          <w:u w:val="none"/>
        </w:rPr>
        <w:t>出台创新创业扶持政策，设立南宁学院大学生创业基金、大学生创新创业大赛奖励基金，对大学生创业实践和参加创业竞赛予以扶持和激励。</w:t>
      </w:r>
      <w:r>
        <w:rPr>
          <w:rFonts w:hint="eastAsia" w:ascii="宋体" w:hAnsi="宋体" w:eastAsia="宋体" w:cstheme="minorBidi"/>
          <w:kern w:val="2"/>
          <w:sz w:val="24"/>
          <w:szCs w:val="24"/>
          <w:u w:val="none"/>
          <w:lang w:val="en-US" w:eastAsia="zh-CN"/>
        </w:rPr>
        <w:t>2017-2018学年，发放</w:t>
      </w:r>
      <w:r>
        <w:rPr>
          <w:rFonts w:hint="eastAsia" w:ascii="宋体" w:hAnsi="宋体" w:eastAsia="宋体"/>
          <w:sz w:val="24"/>
          <w:szCs w:val="24"/>
          <w:u w:val="none"/>
          <w:lang w:val="en-US" w:eastAsia="zh-CN"/>
        </w:rPr>
        <w:t>创新创业奖学金57万元；2018年，获批国家级大学生创新创业训练项目36个，省部级大学生创新创业训练项目84个，创历史新高；在第四届中国“互联网+”大学生创新创业大赛中，学校报名参赛项目达2225项，参与学生近万人，荣获全国铜奖3项，自治区级金奖5项、银奖5项、铜奖34项，学校获得优秀组织奖，实现</w:t>
      </w:r>
      <w:r>
        <w:rPr>
          <w:rFonts w:hint="eastAsia" w:ascii="宋体" w:hAnsi="宋体" w:eastAsia="宋体"/>
          <w:sz w:val="24"/>
          <w:szCs w:val="24"/>
          <w:highlight w:val="none"/>
          <w:u w:val="none"/>
          <w:lang w:val="en-US" w:eastAsia="zh-CN"/>
        </w:rPr>
        <w:t>区赛</w:t>
      </w:r>
      <w:r>
        <w:rPr>
          <w:rFonts w:hint="eastAsia" w:ascii="宋体" w:hAnsi="宋体" w:eastAsia="宋体"/>
          <w:sz w:val="24"/>
          <w:szCs w:val="24"/>
          <w:u w:val="none"/>
          <w:lang w:val="en-US" w:eastAsia="zh-CN"/>
        </w:rPr>
        <w:t>金奖、国赛铜奖、优秀组织奖连续四届不断线</w:t>
      </w:r>
      <w:r>
        <w:rPr>
          <w:rFonts w:hint="eastAsia" w:ascii="宋体" w:hAnsi="宋体" w:eastAsia="宋体"/>
          <w:sz w:val="24"/>
          <w:szCs w:val="24"/>
          <w:u w:val="none"/>
          <w:lang w:eastAsia="zh-CN"/>
        </w:rPr>
        <w:t>。</w:t>
      </w:r>
    </w:p>
    <w:p>
      <w:pPr>
        <w:pStyle w:val="3"/>
        <w:numPr>
          <w:ilvl w:val="-1"/>
          <w:numId w:val="0"/>
        </w:numPr>
        <w:spacing w:line="416" w:lineRule="auto"/>
        <w:jc w:val="left"/>
        <w:rPr>
          <w:rFonts w:hint="eastAsia" w:ascii="黑体" w:hAnsi="黑体" w:eastAsia="黑体"/>
          <w:sz w:val="28"/>
          <w:szCs w:val="28"/>
          <w:u w:val="none"/>
          <w:lang w:val="en-US" w:eastAsia="zh-CN"/>
        </w:rPr>
      </w:pPr>
      <w:bookmarkStart w:id="31" w:name="_Toc29360"/>
      <w:r>
        <w:rPr>
          <w:rFonts w:hint="eastAsia" w:ascii="黑体" w:hAnsi="黑体" w:eastAsia="黑体"/>
          <w:sz w:val="28"/>
          <w:szCs w:val="28"/>
          <w:u w:val="none"/>
          <w:lang w:val="en-US" w:eastAsia="zh-CN"/>
        </w:rPr>
        <w:t>（六）毕业论文（设计）</w:t>
      </w:r>
      <w:bookmarkEnd w:id="31"/>
    </w:p>
    <w:p>
      <w:pPr>
        <w:spacing w:line="240" w:lineRule="auto"/>
        <w:ind w:firstLine="480" w:firstLineChars="200"/>
        <w:rPr>
          <w:rFonts w:hint="eastAsia" w:ascii="宋体" w:hAnsi="宋体" w:eastAsia="宋体"/>
          <w:sz w:val="24"/>
          <w:szCs w:val="24"/>
          <w:u w:val="none"/>
        </w:rPr>
      </w:pPr>
      <w:r>
        <w:rPr>
          <w:rFonts w:hint="eastAsia" w:ascii="宋体" w:hAnsi="宋体" w:eastAsia="宋体"/>
          <w:sz w:val="24"/>
          <w:szCs w:val="24"/>
          <w:u w:val="none"/>
        </w:rPr>
        <w:t xml:space="preserve">为保证毕业设计（论文）与综合训练的工作能达到预期目标，学校制定了《南宁学院毕业设计（论文）管理办法》、《毕业设计（论文）学术不端行为检测及处理办法》、《南宁学院校级优秀毕业设计（论文）评选办法》、《南宁学院毕业设计（论文）质量监测与评价办法》等办法，规范毕业设计（论文）过程管理和质量监测管理。 </w:t>
      </w:r>
    </w:p>
    <w:p>
      <w:pPr>
        <w:spacing w:line="240" w:lineRule="auto"/>
        <w:ind w:firstLine="480" w:firstLineChars="200"/>
        <w:rPr>
          <w:rFonts w:hint="eastAsia" w:ascii="宋体" w:hAnsi="宋体" w:eastAsia="宋体"/>
          <w:sz w:val="24"/>
          <w:szCs w:val="24"/>
          <w:u w:val="none"/>
        </w:rPr>
      </w:pPr>
      <w:r>
        <w:rPr>
          <w:rFonts w:hint="eastAsia" w:ascii="宋体" w:hAnsi="宋体" w:eastAsia="宋体"/>
          <w:sz w:val="24"/>
          <w:szCs w:val="24"/>
          <w:u w:val="none"/>
        </w:rPr>
        <w:t>一是严格选题。各专业把行业企业的一线需要作为选题的主要来源，选题具有较强的专业性，与社会实际、教师科研联系较紧密，难度、</w:t>
      </w:r>
      <w:r>
        <w:rPr>
          <w:rFonts w:hint="eastAsia" w:ascii="宋体" w:hAnsi="宋体" w:eastAsia="宋体"/>
          <w:sz w:val="24"/>
          <w:szCs w:val="24"/>
          <w:highlight w:val="none"/>
          <w:u w:val="none"/>
        </w:rPr>
        <w:t>份量</w:t>
      </w:r>
      <w:r>
        <w:rPr>
          <w:rFonts w:hint="eastAsia" w:ascii="宋体" w:hAnsi="宋体" w:eastAsia="宋体"/>
          <w:sz w:val="24"/>
          <w:szCs w:val="24"/>
          <w:u w:val="none"/>
        </w:rPr>
        <w:t>和综合训练水平符合专业培养目标的要求，做到一人一题。</w:t>
      </w:r>
    </w:p>
    <w:p>
      <w:pPr>
        <w:spacing w:line="240" w:lineRule="auto"/>
        <w:ind w:firstLine="480" w:firstLineChars="200"/>
        <w:rPr>
          <w:rFonts w:hint="eastAsia" w:ascii="宋体" w:hAnsi="宋体" w:eastAsia="宋体"/>
          <w:sz w:val="24"/>
          <w:szCs w:val="24"/>
          <w:u w:val="none"/>
        </w:rPr>
      </w:pPr>
      <w:r>
        <w:rPr>
          <w:rFonts w:hint="eastAsia" w:ascii="宋体" w:hAnsi="宋体" w:eastAsia="宋体"/>
          <w:sz w:val="24"/>
          <w:szCs w:val="24"/>
          <w:u w:val="none"/>
        </w:rPr>
        <w:t>二是严格指导。主要指导教师要求中级以上职称，同时聘请业界具备高级职称或具有丰富实践与管理经验的人员参与指导，且每位教师指导学生人数不超过8人；开展“双导师制”、“毕业论文（设计）进企业”、“企业专家进答辩组”等指导形式；要求指导教师每周至少与学生进行一次交流讨论，且与学生的单独指导、见面指导至少各4次。</w:t>
      </w:r>
    </w:p>
    <w:p>
      <w:pPr>
        <w:spacing w:line="240" w:lineRule="auto"/>
        <w:ind w:firstLine="480" w:firstLineChars="200"/>
        <w:rPr>
          <w:rFonts w:hint="eastAsia" w:ascii="宋体" w:hAnsi="宋体" w:eastAsia="宋体"/>
          <w:sz w:val="24"/>
          <w:szCs w:val="24"/>
          <w:u w:val="none"/>
        </w:rPr>
      </w:pPr>
      <w:r>
        <w:rPr>
          <w:rFonts w:hint="eastAsia" w:ascii="宋体" w:hAnsi="宋体" w:eastAsia="宋体"/>
          <w:sz w:val="24"/>
          <w:szCs w:val="24"/>
          <w:u w:val="none"/>
        </w:rPr>
        <w:t>三是严格过程管理。对毕业设计（论文）工作中选题、开题、中期检查、评阅、答辩、资料归档等过程制定了详细的管理要求，并采用信息技术平台辅助开展过程管理。</w:t>
      </w:r>
    </w:p>
    <w:p>
      <w:pPr>
        <w:spacing w:line="240" w:lineRule="auto"/>
        <w:ind w:firstLine="480" w:firstLineChars="200"/>
        <w:rPr>
          <w:rFonts w:hint="eastAsia" w:ascii="宋体" w:hAnsi="宋体" w:eastAsia="宋体"/>
          <w:sz w:val="24"/>
          <w:szCs w:val="24"/>
          <w:u w:val="none"/>
        </w:rPr>
      </w:pPr>
      <w:r>
        <w:rPr>
          <w:rFonts w:hint="eastAsia" w:ascii="宋体" w:hAnsi="宋体" w:eastAsia="宋体"/>
          <w:sz w:val="24"/>
          <w:szCs w:val="24"/>
          <w:u w:val="none"/>
        </w:rPr>
        <w:t>四是严把质量。制定有毕业设计（论文）管理办法、质量标准及毕业设计（论文）质量监控与评价办法，校院两级通过组织校内外专家开展毕业论文检查与常态监测评价，从选题、开题、中期、结题与答辩以及毕业设计（论文）管理工作质量进行全面检查与评价，有效实施对毕业设计（论文）的教学过程的质量监控。</w:t>
      </w:r>
      <w:r>
        <w:rPr>
          <w:rFonts w:hint="eastAsia" w:ascii="宋体" w:hAnsi="宋体" w:eastAsia="宋体"/>
          <w:color w:val="auto"/>
          <w:sz w:val="24"/>
          <w:szCs w:val="24"/>
          <w:u w:val="none"/>
        </w:rPr>
        <w:t>学校每年按照毕业生总数5%的比例评选优秀论文，对被选学生和指导教师给予表彰和奖励。</w:t>
      </w:r>
    </w:p>
    <w:p>
      <w:pPr>
        <w:ind w:firstLine="480" w:firstLineChars="200"/>
        <w:jc w:val="left"/>
        <w:rPr>
          <w:rFonts w:hint="default" w:asciiTheme="minorHAnsi" w:hAnsiTheme="minorHAnsi" w:eastAsiaTheme="minorEastAsia"/>
          <w:sz w:val="21"/>
          <w:szCs w:val="22"/>
          <w:u w:val="none"/>
          <w:lang w:val="en-US" w:eastAsia="zh-CN"/>
        </w:rPr>
      </w:pPr>
      <w:r>
        <w:rPr>
          <w:rFonts w:hint="eastAsia" w:asciiTheme="majorEastAsia" w:hAnsiTheme="majorEastAsia" w:eastAsiaTheme="majorEastAsia" w:cstheme="minorEastAsia"/>
          <w:bCs/>
          <w:sz w:val="24"/>
          <w:szCs w:val="24"/>
          <w:lang w:eastAsia="zh-CN"/>
        </w:rPr>
        <w:t>201</w:t>
      </w:r>
      <w:r>
        <w:rPr>
          <w:rFonts w:hint="eastAsia" w:asciiTheme="majorEastAsia" w:hAnsiTheme="majorEastAsia" w:eastAsiaTheme="majorEastAsia" w:cstheme="minorEastAsia"/>
          <w:bCs/>
          <w:sz w:val="24"/>
          <w:szCs w:val="24"/>
          <w:lang w:val="en-US" w:eastAsia="zh-CN"/>
        </w:rPr>
        <w:t>7</w:t>
      </w:r>
      <w:r>
        <w:rPr>
          <w:rFonts w:hint="eastAsia" w:asciiTheme="majorEastAsia" w:hAnsiTheme="majorEastAsia" w:eastAsiaTheme="majorEastAsia" w:cstheme="minorEastAsia"/>
          <w:bCs/>
          <w:sz w:val="24"/>
          <w:szCs w:val="24"/>
          <w:lang w:eastAsia="zh-CN"/>
        </w:rPr>
        <w:t>-201</w:t>
      </w:r>
      <w:r>
        <w:rPr>
          <w:rFonts w:hint="eastAsia" w:asciiTheme="majorEastAsia" w:hAnsiTheme="majorEastAsia" w:eastAsiaTheme="majorEastAsia" w:cstheme="minorEastAsia"/>
          <w:bCs/>
          <w:sz w:val="24"/>
          <w:szCs w:val="24"/>
          <w:lang w:val="en-US" w:eastAsia="zh-CN"/>
        </w:rPr>
        <w:t>8</w:t>
      </w:r>
      <w:r>
        <w:rPr>
          <w:rFonts w:hint="eastAsia" w:asciiTheme="majorEastAsia" w:hAnsiTheme="majorEastAsia" w:eastAsiaTheme="majorEastAsia" w:cstheme="minorEastAsia"/>
          <w:bCs/>
          <w:sz w:val="24"/>
          <w:szCs w:val="24"/>
          <w:lang w:eastAsia="zh-CN"/>
        </w:rPr>
        <w:t>学年</w:t>
      </w:r>
      <w:r>
        <w:rPr>
          <w:rFonts w:hint="eastAsia" w:asciiTheme="majorEastAsia" w:hAnsiTheme="majorEastAsia" w:eastAsiaTheme="majorEastAsia" w:cstheme="minorEastAsia"/>
          <w:bCs/>
          <w:sz w:val="24"/>
          <w:szCs w:val="24"/>
        </w:rPr>
        <w:t>，</w:t>
      </w:r>
      <w:r>
        <w:rPr>
          <w:rFonts w:hint="eastAsia" w:asciiTheme="majorEastAsia" w:hAnsiTheme="majorEastAsia" w:eastAsiaTheme="majorEastAsia" w:cstheme="minorEastAsia"/>
          <w:bCs/>
          <w:sz w:val="24"/>
          <w:szCs w:val="24"/>
          <w:lang w:eastAsia="zh-CN"/>
        </w:rPr>
        <w:t>学校</w:t>
      </w:r>
      <w:r>
        <w:rPr>
          <w:rFonts w:hint="eastAsia" w:ascii="宋体" w:hAnsi="宋体" w:eastAsia="宋体"/>
          <w:sz w:val="24"/>
          <w:szCs w:val="24"/>
          <w:u w:val="none"/>
        </w:rPr>
        <w:t>共开设了1774选题供学生选做毕业设计（论文）。我校共有146名教师参与了本科生毕业设计（论文）的指导工作，指导教师具有副高级以上职称的人数比例约占43.15%，学校还聘请了112位外聘教师担任指导老师</w:t>
      </w:r>
      <w:r>
        <w:rPr>
          <w:rFonts w:hint="eastAsia" w:ascii="宋体" w:hAnsi="宋体" w:eastAsia="宋体"/>
          <w:sz w:val="24"/>
          <w:szCs w:val="24"/>
          <w:u w:val="none"/>
          <w:lang w:eastAsia="zh-CN"/>
        </w:rPr>
        <w:t>，</w:t>
      </w:r>
      <w:r>
        <w:rPr>
          <w:rFonts w:hint="eastAsia" w:ascii="宋体" w:hAnsi="宋体" w:eastAsia="宋体"/>
          <w:sz w:val="24"/>
          <w:szCs w:val="24"/>
          <w:u w:val="none"/>
        </w:rPr>
        <w:t>平均每位教师指导学生人数为6.95人。</w:t>
      </w:r>
    </w:p>
    <w:p>
      <w:pPr>
        <w:pStyle w:val="3"/>
        <w:jc w:val="left"/>
      </w:pPr>
      <w:bookmarkStart w:id="32" w:name="_Toc14265"/>
      <w:r>
        <w:rPr>
          <w:rFonts w:hint="eastAsia" w:ascii="黑体" w:hAnsi="黑体" w:eastAsia="黑体"/>
          <w:sz w:val="28"/>
          <w:szCs w:val="28"/>
        </w:rPr>
        <w:t>（</w:t>
      </w:r>
      <w:r>
        <w:rPr>
          <w:rFonts w:hint="eastAsia" w:ascii="黑体" w:hAnsi="黑体" w:eastAsia="黑体"/>
          <w:sz w:val="28"/>
          <w:szCs w:val="28"/>
          <w:lang w:eastAsia="zh-CN"/>
        </w:rPr>
        <w:t>七</w:t>
      </w:r>
      <w:r>
        <w:rPr>
          <w:rFonts w:hint="eastAsia" w:ascii="黑体" w:hAnsi="黑体" w:eastAsia="黑体"/>
          <w:sz w:val="28"/>
          <w:szCs w:val="28"/>
        </w:rPr>
        <w:t>）教学改革</w:t>
      </w:r>
      <w:bookmarkEnd w:id="32"/>
    </w:p>
    <w:p>
      <w:pPr>
        <w:keepNext w:val="0"/>
        <w:keepLines w:val="0"/>
        <w:pageBreakBefore w:val="0"/>
        <w:kinsoku/>
        <w:wordWrap/>
        <w:overflowPunct/>
        <w:topLinePunct w:val="0"/>
        <w:autoSpaceDE/>
        <w:autoSpaceDN/>
        <w:bidi w:val="0"/>
        <w:adjustRightInd/>
        <w:spacing w:line="240" w:lineRule="auto"/>
        <w:ind w:firstLine="480" w:firstLineChars="200"/>
        <w:jc w:val="left"/>
        <w:textAlignment w:val="auto"/>
        <w:outlineLvl w:val="9"/>
        <w:rPr>
          <w:rFonts w:hint="eastAsia" w:ascii="宋体" w:hAnsi="宋体" w:eastAsia="宋体" w:cstheme="minorBidi"/>
          <w:sz w:val="24"/>
          <w:szCs w:val="24"/>
          <w:u w:val="none"/>
          <w:lang w:eastAsia="zh-CN"/>
        </w:rPr>
      </w:pPr>
      <w:r>
        <w:rPr>
          <w:rFonts w:hint="eastAsia" w:ascii="宋体" w:hAnsi="宋体" w:eastAsia="宋体"/>
          <w:sz w:val="24"/>
          <w:szCs w:val="24"/>
          <w:u w:val="none"/>
          <w:lang w:val="en-US" w:eastAsia="zh-CN"/>
        </w:rPr>
        <w:t>学校鼓励教师围绕提高应用型人才培养质量的核心，开展各种教学方法改革，重点抓因材施教、自主学习，开拓应用型教学新模式，组织开展教改项目、示范课程、应用型教材等质量工程立项项目。2017-2018学年，学校部署了自治区创优项目，已完成7个项目申报材料工作；</w:t>
      </w:r>
      <w:r>
        <w:rPr>
          <w:rFonts w:hint="eastAsia" w:ascii="宋体" w:hAnsi="宋体" w:eastAsia="宋体" w:cstheme="minorBidi"/>
          <w:sz w:val="24"/>
          <w:szCs w:val="24"/>
          <w:u w:val="none"/>
        </w:rPr>
        <w:t>获批2018年度自治区级本科教改项目13项、广西职业教育教改项目5项，校级教改项目共立项43项</w:t>
      </w:r>
      <w:r>
        <w:rPr>
          <w:rFonts w:hint="eastAsia" w:ascii="宋体" w:hAnsi="宋体" w:eastAsia="宋体"/>
          <w:sz w:val="24"/>
          <w:szCs w:val="24"/>
          <w:u w:val="none"/>
          <w:lang w:val="en-US" w:eastAsia="zh-CN"/>
        </w:rPr>
        <w:t>；获得省部级教学成果奖6项，其中2017年自治区本科教学成果奖三等奖1项、创新创业教育教学成果奖一等奖1项、三等奖3项，广西职业教育教学成果奖一等奖1项，评选出2017年校级教学成果奖共10项；教师主持建设的省部级教学研究与改革项目63项，建设经费达100万元；</w:t>
      </w:r>
      <w:r>
        <w:rPr>
          <w:rFonts w:hint="eastAsia" w:ascii="宋体" w:hAnsi="宋体" w:eastAsia="宋体" w:cstheme="minorBidi"/>
          <w:b w:val="0"/>
          <w:bCs w:val="0"/>
          <w:sz w:val="24"/>
          <w:szCs w:val="24"/>
          <w:u w:val="none"/>
          <w:lang w:eastAsia="zh-CN"/>
        </w:rPr>
        <w:t>我校教师在自治区青年教师教学大赛中荣获思政组一等奖1项、文科组二等奖1项、工科组二等奖1项、理科组三等奖1项；在广西本科高校哲学社会科学优秀教师“特色示范课堂”中获二等奖2项、三等奖1项；在第三届全国职业院校教师微课大赛中获一等奖2项、二等奖2项、三等奖4项、优秀奖5项</w:t>
      </w:r>
      <w:r>
        <w:rPr>
          <w:rFonts w:hint="eastAsia" w:ascii="宋体" w:hAnsi="宋体" w:eastAsia="宋体" w:cstheme="minorBidi"/>
          <w:sz w:val="24"/>
          <w:szCs w:val="24"/>
          <w:u w:val="none"/>
          <w:lang w:eastAsia="zh-CN"/>
        </w:rPr>
        <w:t>。</w:t>
      </w:r>
    </w:p>
    <w:p>
      <w:pPr>
        <w:ind w:firstLine="480" w:firstLineChars="200"/>
        <w:jc w:val="left"/>
        <w:rPr>
          <w:rFonts w:hint="eastAsia" w:ascii="宋体" w:hAnsi="宋体" w:eastAsia="宋体"/>
          <w:sz w:val="24"/>
          <w:szCs w:val="24"/>
          <w:u w:val="none"/>
        </w:rPr>
      </w:pPr>
    </w:p>
    <w:p>
      <w:pPr>
        <w:jc w:val="center"/>
        <w:rPr>
          <w:b/>
          <w:bCs/>
          <w:u w:val="none"/>
        </w:rPr>
      </w:pPr>
      <w:r>
        <w:rPr>
          <w:rFonts w:hint="eastAsia" w:ascii="宋体" w:hAnsi="宋体" w:eastAsia="宋体"/>
          <w:b/>
          <w:bCs/>
          <w:sz w:val="24"/>
          <w:szCs w:val="24"/>
          <w:u w:val="none"/>
        </w:rPr>
        <w:t>表</w:t>
      </w:r>
      <w:r>
        <w:rPr>
          <w:rFonts w:hint="eastAsia" w:ascii="宋体" w:hAnsi="宋体" w:eastAsia="宋体"/>
          <w:b/>
          <w:bCs/>
          <w:sz w:val="24"/>
          <w:szCs w:val="24"/>
          <w:u w:val="none"/>
          <w:lang w:val="en-US" w:eastAsia="zh-CN"/>
        </w:rPr>
        <w:t xml:space="preserve">5 </w:t>
      </w:r>
      <w:r>
        <w:rPr>
          <w:rFonts w:hint="eastAsia" w:ascii="宋体" w:hAnsi="宋体" w:eastAsia="宋体"/>
          <w:b/>
          <w:bCs/>
          <w:sz w:val="24"/>
          <w:szCs w:val="24"/>
          <w:u w:val="none"/>
        </w:rPr>
        <w:t>2017年我校教师主持省级及以上本科教学工程（质量工程）项目情况</w:t>
      </w:r>
    </w:p>
    <w:p>
      <w:pPr>
        <w:ind w:firstLine="480" w:firstLineChars="200"/>
        <w:jc w:val="left"/>
        <w:rPr>
          <w:rFonts w:hint="eastAsia" w:ascii="宋体" w:hAnsi="宋体" w:eastAsia="宋体"/>
          <w:sz w:val="24"/>
          <w:szCs w:val="24"/>
          <w:u w:val="none"/>
        </w:rPr>
      </w:pPr>
    </w:p>
    <w:tbl>
      <w:tblPr>
        <w:tblStyle w:val="15"/>
        <w:tblW w:w="7783" w:type="dxa"/>
        <w:jc w:val="center"/>
        <w:tblInd w:w="-482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55"/>
        <w:gridCol w:w="1830"/>
        <w:gridCol w:w="1633"/>
        <w:gridCol w:w="13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tblHeader/>
          <w:jc w:val="center"/>
        </w:trPr>
        <w:tc>
          <w:tcPr>
            <w:tcW w:w="2955" w:type="dxa"/>
            <w:vAlign w:val="center"/>
          </w:tcPr>
          <w:p>
            <w:pPr>
              <w:jc w:val="center"/>
            </w:pPr>
            <w:r>
              <w:rPr>
                <w:rFonts w:hint="eastAsia" w:ascii="宋体" w:hAnsi="宋体" w:eastAsia="宋体"/>
                <w:b/>
                <w:sz w:val="24"/>
                <w:szCs w:val="24"/>
              </w:rPr>
              <w:t>项目类型</w:t>
            </w:r>
          </w:p>
        </w:tc>
        <w:tc>
          <w:tcPr>
            <w:tcW w:w="1830" w:type="dxa"/>
            <w:vAlign w:val="center"/>
          </w:tcPr>
          <w:p>
            <w:pPr>
              <w:jc w:val="center"/>
            </w:pPr>
            <w:r>
              <w:rPr>
                <w:rFonts w:hint="eastAsia" w:ascii="宋体" w:hAnsi="宋体" w:eastAsia="宋体"/>
                <w:b/>
                <w:sz w:val="24"/>
                <w:szCs w:val="24"/>
              </w:rPr>
              <w:t>国家级项目数</w:t>
            </w:r>
          </w:p>
        </w:tc>
        <w:tc>
          <w:tcPr>
            <w:tcW w:w="1633" w:type="dxa"/>
            <w:vAlign w:val="center"/>
          </w:tcPr>
          <w:p>
            <w:pPr>
              <w:jc w:val="center"/>
            </w:pPr>
            <w:r>
              <w:rPr>
                <w:rFonts w:hint="eastAsia" w:ascii="宋体" w:hAnsi="宋体" w:eastAsia="宋体"/>
                <w:b/>
                <w:sz w:val="24"/>
                <w:szCs w:val="24"/>
              </w:rPr>
              <w:t>省级项目数</w:t>
            </w:r>
          </w:p>
        </w:tc>
        <w:tc>
          <w:tcPr>
            <w:tcW w:w="1365" w:type="dxa"/>
            <w:vAlign w:val="center"/>
          </w:tcPr>
          <w:p>
            <w:pPr>
              <w:jc w:val="center"/>
            </w:pPr>
            <w:r>
              <w:rPr>
                <w:rFonts w:hint="eastAsia" w:ascii="宋体" w:hAnsi="宋体" w:eastAsia="宋体"/>
                <w:b/>
                <w:sz w:val="24"/>
                <w:szCs w:val="24"/>
              </w:rPr>
              <w:t>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2955" w:type="dxa"/>
            <w:vAlign w:val="center"/>
          </w:tcPr>
          <w:p>
            <w:pPr>
              <w:jc w:val="center"/>
            </w:pPr>
            <w:r>
              <w:rPr>
                <w:rFonts w:hint="eastAsia" w:ascii="宋体" w:hAnsi="宋体" w:eastAsia="宋体"/>
                <w:sz w:val="24"/>
                <w:szCs w:val="24"/>
              </w:rPr>
              <w:t>其他项目</w:t>
            </w:r>
          </w:p>
        </w:tc>
        <w:tc>
          <w:tcPr>
            <w:tcW w:w="1830" w:type="dxa"/>
            <w:vAlign w:val="center"/>
          </w:tcPr>
          <w:p>
            <w:pPr>
              <w:jc w:val="center"/>
            </w:pPr>
            <w:r>
              <w:rPr>
                <w:rFonts w:hint="eastAsia" w:ascii="宋体" w:hAnsi="宋体" w:eastAsia="宋体"/>
                <w:sz w:val="24"/>
                <w:szCs w:val="24"/>
              </w:rPr>
              <w:t>0</w:t>
            </w:r>
          </w:p>
        </w:tc>
        <w:tc>
          <w:tcPr>
            <w:tcW w:w="1633" w:type="dxa"/>
            <w:vAlign w:val="center"/>
          </w:tcPr>
          <w:p>
            <w:pPr>
              <w:jc w:val="center"/>
            </w:pPr>
            <w:r>
              <w:rPr>
                <w:rFonts w:hint="eastAsia" w:ascii="宋体" w:hAnsi="宋体" w:eastAsia="宋体"/>
                <w:sz w:val="24"/>
                <w:szCs w:val="24"/>
              </w:rPr>
              <w:t>2</w:t>
            </w:r>
          </w:p>
        </w:tc>
        <w:tc>
          <w:tcPr>
            <w:tcW w:w="1365" w:type="dxa"/>
            <w:vAlign w:val="center"/>
          </w:tcPr>
          <w:p>
            <w:pPr>
              <w:jc w:val="center"/>
            </w:pPr>
            <w:r>
              <w:rPr>
                <w:rFonts w:hint="eastAsia" w:ascii="宋体" w:hAnsi="宋体" w:eastAsia="宋体"/>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2955" w:type="dxa"/>
            <w:vAlign w:val="center"/>
          </w:tcPr>
          <w:p>
            <w:pPr>
              <w:jc w:val="center"/>
            </w:pPr>
            <w:r>
              <w:rPr>
                <w:rFonts w:hint="eastAsia" w:ascii="宋体" w:hAnsi="宋体" w:eastAsia="宋体"/>
                <w:sz w:val="24"/>
                <w:szCs w:val="24"/>
              </w:rPr>
              <w:t>大学生校外实践教育基地</w:t>
            </w:r>
          </w:p>
        </w:tc>
        <w:tc>
          <w:tcPr>
            <w:tcW w:w="1830" w:type="dxa"/>
            <w:vAlign w:val="center"/>
          </w:tcPr>
          <w:p>
            <w:pPr>
              <w:jc w:val="center"/>
            </w:pPr>
            <w:r>
              <w:rPr>
                <w:rFonts w:hint="eastAsia" w:ascii="宋体" w:hAnsi="宋体" w:eastAsia="宋体"/>
                <w:sz w:val="24"/>
                <w:szCs w:val="24"/>
              </w:rPr>
              <w:t>0</w:t>
            </w:r>
          </w:p>
        </w:tc>
        <w:tc>
          <w:tcPr>
            <w:tcW w:w="1633" w:type="dxa"/>
            <w:vAlign w:val="center"/>
          </w:tcPr>
          <w:p>
            <w:pPr>
              <w:jc w:val="center"/>
            </w:pPr>
            <w:r>
              <w:rPr>
                <w:rFonts w:hint="eastAsia" w:ascii="宋体" w:hAnsi="宋体" w:eastAsia="宋体"/>
                <w:sz w:val="24"/>
                <w:szCs w:val="24"/>
              </w:rPr>
              <w:t>1</w:t>
            </w:r>
          </w:p>
        </w:tc>
        <w:tc>
          <w:tcPr>
            <w:tcW w:w="1365" w:type="dxa"/>
            <w:vAlign w:val="center"/>
          </w:tcPr>
          <w:p>
            <w:pPr>
              <w:jc w:val="center"/>
            </w:pPr>
            <w:r>
              <w:rPr>
                <w:rFonts w:hint="eastAsia" w:ascii="宋体" w:hAnsi="宋体" w:eastAsia="宋体"/>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2955" w:type="dxa"/>
            <w:vAlign w:val="center"/>
          </w:tcPr>
          <w:p>
            <w:pPr>
              <w:jc w:val="center"/>
            </w:pPr>
            <w:r>
              <w:rPr>
                <w:rFonts w:hint="eastAsia" w:ascii="宋体" w:hAnsi="宋体" w:eastAsia="宋体"/>
                <w:sz w:val="24"/>
                <w:szCs w:val="24"/>
              </w:rPr>
              <w:t>特色专业</w:t>
            </w:r>
          </w:p>
        </w:tc>
        <w:tc>
          <w:tcPr>
            <w:tcW w:w="1830" w:type="dxa"/>
            <w:vAlign w:val="center"/>
          </w:tcPr>
          <w:p>
            <w:pPr>
              <w:jc w:val="center"/>
            </w:pPr>
            <w:r>
              <w:rPr>
                <w:rFonts w:hint="eastAsia" w:ascii="宋体" w:hAnsi="宋体" w:eastAsia="宋体"/>
                <w:sz w:val="24"/>
                <w:szCs w:val="24"/>
              </w:rPr>
              <w:t>0</w:t>
            </w:r>
          </w:p>
        </w:tc>
        <w:tc>
          <w:tcPr>
            <w:tcW w:w="1633" w:type="dxa"/>
            <w:vAlign w:val="center"/>
          </w:tcPr>
          <w:p>
            <w:pPr>
              <w:jc w:val="center"/>
            </w:pPr>
            <w:r>
              <w:rPr>
                <w:rFonts w:hint="eastAsia" w:ascii="宋体" w:hAnsi="宋体" w:eastAsia="宋体"/>
                <w:sz w:val="24"/>
                <w:szCs w:val="24"/>
              </w:rPr>
              <w:t>1</w:t>
            </w:r>
          </w:p>
        </w:tc>
        <w:tc>
          <w:tcPr>
            <w:tcW w:w="1365" w:type="dxa"/>
            <w:vAlign w:val="center"/>
          </w:tcPr>
          <w:p>
            <w:pPr>
              <w:jc w:val="center"/>
            </w:pPr>
            <w:r>
              <w:rPr>
                <w:rFonts w:hint="eastAsia" w:ascii="宋体" w:hAnsi="宋体" w:eastAsia="宋体"/>
                <w:sz w:val="24"/>
                <w:szCs w:val="24"/>
              </w:rPr>
              <w:t>1</w:t>
            </w:r>
          </w:p>
        </w:tc>
      </w:tr>
    </w:tbl>
    <w:p>
      <w:pPr>
        <w:pStyle w:val="2"/>
        <w:jc w:val="left"/>
        <w:rPr>
          <w:rFonts w:hint="eastAsia" w:ascii="黑体" w:hAnsi="黑体" w:eastAsia="黑体"/>
          <w:sz w:val="28"/>
          <w:szCs w:val="28"/>
          <w:lang w:eastAsia="zh-CN"/>
        </w:rPr>
      </w:pPr>
      <w:bookmarkStart w:id="33" w:name="_Toc3252"/>
      <w:r>
        <w:rPr>
          <w:rFonts w:hint="eastAsia" w:ascii="黑体" w:hAnsi="黑体" w:eastAsia="黑体"/>
          <w:sz w:val="28"/>
          <w:szCs w:val="28"/>
          <w:lang w:val="en-US" w:eastAsia="zh-CN"/>
        </w:rPr>
        <w:t>四、</w:t>
      </w:r>
      <w:r>
        <w:rPr>
          <w:rFonts w:hint="eastAsia" w:ascii="黑体" w:hAnsi="黑体" w:eastAsia="黑体"/>
          <w:sz w:val="28"/>
          <w:szCs w:val="28"/>
          <w:lang w:eastAsia="zh-CN"/>
        </w:rPr>
        <w:t>专业培养能力</w:t>
      </w:r>
      <w:bookmarkEnd w:id="33"/>
    </w:p>
    <w:p>
      <w:pPr>
        <w:pStyle w:val="3"/>
        <w:numPr>
          <w:numId w:val="0"/>
        </w:numPr>
        <w:jc w:val="left"/>
        <w:rPr>
          <w:rFonts w:hint="eastAsia" w:ascii="宋体" w:hAnsi="宋体" w:eastAsia="黑体"/>
          <w:sz w:val="28"/>
          <w:szCs w:val="28"/>
          <w:lang w:eastAsia="zh-CN"/>
        </w:rPr>
      </w:pPr>
      <w:bookmarkStart w:id="34" w:name="_Toc15084"/>
      <w:r>
        <w:rPr>
          <w:rFonts w:hint="eastAsia" w:ascii="宋体" w:hAnsi="宋体" w:eastAsia="黑体"/>
          <w:sz w:val="28"/>
          <w:szCs w:val="28"/>
          <w:lang w:eastAsia="zh-CN"/>
        </w:rPr>
        <w:t>（</w:t>
      </w:r>
      <w:r>
        <w:rPr>
          <w:rFonts w:hint="eastAsia" w:ascii="宋体" w:hAnsi="宋体" w:eastAsia="黑体"/>
          <w:sz w:val="28"/>
          <w:szCs w:val="28"/>
          <w:lang w:val="en-US" w:eastAsia="zh-CN"/>
        </w:rPr>
        <w:t>一</w:t>
      </w:r>
      <w:r>
        <w:rPr>
          <w:rFonts w:hint="eastAsia" w:ascii="宋体" w:hAnsi="宋体" w:eastAsia="黑体"/>
          <w:sz w:val="28"/>
          <w:szCs w:val="28"/>
          <w:lang w:eastAsia="zh-CN"/>
        </w:rPr>
        <w:t>）确立应用型专业人才培养目标定位</w:t>
      </w:r>
      <w:bookmarkEnd w:id="34"/>
    </w:p>
    <w:p>
      <w:pPr>
        <w:pStyle w:val="3"/>
        <w:keepNext/>
        <w:keepLines/>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sz w:val="28"/>
          <w:szCs w:val="28"/>
          <w:lang w:val="en-US" w:eastAsia="zh-CN"/>
        </w:rPr>
      </w:pPr>
      <w:bookmarkStart w:id="35" w:name="_Toc458"/>
      <w:bookmarkStart w:id="36" w:name="_Toc13950"/>
      <w:bookmarkStart w:id="37" w:name="_Toc7288"/>
      <w:r>
        <w:rPr>
          <w:rFonts w:hint="eastAsia" w:ascii="宋体" w:hAnsi="宋体" w:eastAsia="宋体" w:cstheme="minorBidi"/>
          <w:b w:val="0"/>
          <w:bCs w:val="0"/>
          <w:kern w:val="2"/>
          <w:sz w:val="24"/>
          <w:szCs w:val="24"/>
          <w:u w:val="none"/>
          <w:lang w:val="en-US" w:eastAsia="zh-CN" w:bidi="ar-SA"/>
        </w:rPr>
        <w:t>学校根据应用型办学定位，提出了面向产业与行业的需要，培养适应现代城市产业与经营管理发展需求，具备“做人有品格，就业有本领，创业有能力，深造有基础，发展有后劲”的高素质应用型人才培养目标。“五有”人才培养目标定位实际上包含了南宁学院学生要具备的公共能力，包含三个层面，做人有品格，就业有本领体现适应社会的能力；创业有能力体现创新创业能力，南宁学院是全区高校第一个提出把能力写进人才培养规格中；深造有基础，发展有后劲体现了持续学习的能力。在具备公共能力的基础上，再加强专业核心能力的培养，从而实现从知识储备向能力储备转变的应用型人才培养体系。</w:t>
      </w:r>
      <w:bookmarkEnd w:id="35"/>
      <w:bookmarkEnd w:id="36"/>
      <w:bookmarkEnd w:id="37"/>
    </w:p>
    <w:p>
      <w:pPr>
        <w:pStyle w:val="3"/>
        <w:numPr>
          <w:numId w:val="0"/>
        </w:numPr>
        <w:jc w:val="left"/>
        <w:rPr>
          <w:rFonts w:hint="eastAsia" w:ascii="黑体" w:hAnsi="黑体" w:eastAsia="黑体"/>
          <w:sz w:val="28"/>
          <w:szCs w:val="28"/>
          <w:u w:val="none"/>
          <w:lang w:eastAsia="zh-CN"/>
        </w:rPr>
      </w:pPr>
      <w:bookmarkStart w:id="38" w:name="_Toc6183"/>
      <w:r>
        <w:rPr>
          <w:rFonts w:hint="eastAsia" w:ascii="黑体" w:hAnsi="黑体" w:eastAsia="黑体"/>
          <w:sz w:val="28"/>
          <w:szCs w:val="28"/>
          <w:u w:val="none"/>
          <w:lang w:eastAsia="zh-CN"/>
        </w:rPr>
        <w:t>（</w:t>
      </w:r>
      <w:r>
        <w:rPr>
          <w:rFonts w:hint="eastAsia" w:ascii="黑体" w:hAnsi="黑体" w:eastAsia="黑体"/>
          <w:sz w:val="28"/>
          <w:szCs w:val="28"/>
          <w:u w:val="none"/>
          <w:lang w:val="en-US" w:eastAsia="zh-CN"/>
        </w:rPr>
        <w:t>二</w:t>
      </w:r>
      <w:bookmarkStart w:id="84" w:name="_GoBack"/>
      <w:bookmarkEnd w:id="84"/>
      <w:r>
        <w:rPr>
          <w:rFonts w:hint="eastAsia" w:ascii="黑体" w:hAnsi="黑体" w:eastAsia="黑体"/>
          <w:sz w:val="28"/>
          <w:szCs w:val="28"/>
          <w:u w:val="none"/>
          <w:lang w:eastAsia="zh-CN"/>
        </w:rPr>
        <w:t>）优化专业培养环境</w:t>
      </w:r>
      <w:bookmarkEnd w:id="38"/>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heme="minorBidi"/>
          <w:b w:val="0"/>
          <w:bCs w:val="0"/>
          <w:kern w:val="2"/>
          <w:sz w:val="24"/>
          <w:szCs w:val="24"/>
          <w:u w:val="none"/>
          <w:lang w:val="en-US" w:eastAsia="zh-CN" w:bidi="ar-SA"/>
        </w:rPr>
      </w:pPr>
      <w:r>
        <w:rPr>
          <w:rFonts w:hint="eastAsia" w:ascii="宋体" w:hAnsi="宋体" w:eastAsia="宋体" w:cstheme="minorBidi"/>
          <w:b w:val="0"/>
          <w:bCs w:val="0"/>
          <w:kern w:val="2"/>
          <w:sz w:val="24"/>
          <w:szCs w:val="24"/>
          <w:u w:val="none"/>
          <w:lang w:val="en-US" w:eastAsia="zh-CN" w:bidi="ar-SA"/>
        </w:rPr>
        <w:t>加强师资队伍建设。学校制定了师资队伍建设十三五规划，努力建设结构相对合理、素质较高、相对稳定、数量基本满足的应用型师资。引进与培育学科专业领域影响力较大、学术造诣较深的学科专业带头人，25个本科专业中，专业带头人高级职称有24人，占96%；持续加大人才引进力度，优化各专业师资结构，2017-2018学年，结合应用型办学定位，共引进专家学者、行业技术骨干等高层次人才22人；加强教师培养培训，构建“四阶段递进式鹰计划”培养体系，制定有《南宁学院教师发展工作规划（2018-2020）》，开展青年骨干教师能力培养“百人计划”工程、青年教师助教导师工程，开展新入职教职工岗前培训，支持鼓励教师进行学历提升，207-2018学年，教师攻读博士学位6人,367人次参加境内进修，开展各类常规培训、教师创新创业专项培训累计4387人次。目前已培养青年助教五批共98人、开展青年骨干教师“百人计划”项目2期共73人、选育“教授培育工程”培养对象45人、遴选拔尖人才8人、“千骨计划”培养对象1人；加强教师教学团队建设，学校根据不同岗位需求和发展特点开展分类培训。截止2018年，学校有校级教学团队18个，资助134万元；校级科研团队10个，资助190万元；通过“蒲公英计划”、“金园丁工程”，培养具有二级创业咨询师职业资格的创业导师团队83人、职业规划师团队63人，其中有3人被评为全国优秀创新创业导师；工艺美术师大师团队1个。</w:t>
      </w:r>
    </w:p>
    <w:p>
      <w:pPr>
        <w:ind w:firstLine="480" w:firstLineChars="200"/>
        <w:rPr>
          <w:rFonts w:hint="eastAsia" w:ascii="宋体" w:hAnsi="宋体" w:eastAsia="宋体"/>
          <w:color w:val="auto"/>
          <w:sz w:val="24"/>
          <w:szCs w:val="24"/>
          <w:lang w:eastAsia="zh-CN"/>
        </w:rPr>
      </w:pPr>
      <w:r>
        <w:rPr>
          <w:rFonts w:hint="eastAsia" w:ascii="宋体" w:hAnsi="宋体" w:eastAsia="宋体" w:cstheme="minorBidi"/>
          <w:b w:val="0"/>
          <w:bCs w:val="0"/>
          <w:kern w:val="2"/>
          <w:sz w:val="24"/>
          <w:szCs w:val="24"/>
          <w:u w:val="none"/>
          <w:lang w:val="en-US" w:eastAsia="zh-CN" w:bidi="ar-SA"/>
        </w:rPr>
        <w:t>加强实践条件建设。学校高度重视实验条件建设，围绕学科专业定位，大力推进实验室建设，2017、2018年，实验室专项建设经费投入分别为1971.47万元、2333万元，目前建有ICT融合创新实验实训室、智能交通实训室、VBSE跨专业综合实训室等213个功能实验实训室。其中，智慧实验教室1个，自治区级实验教学中心1个、国家教育部ICT产教融</w:t>
      </w:r>
      <w:r>
        <w:rPr>
          <w:rFonts w:hint="eastAsia" w:ascii="宋体" w:hAnsi="宋体" w:eastAsia="宋体"/>
          <w:color w:val="auto"/>
          <w:sz w:val="24"/>
          <w:szCs w:val="24"/>
          <w:lang w:eastAsia="zh-CN"/>
        </w:rPr>
        <w:t>合基地1个。学校重视校外实践教学基地的建设，建立校外实践教学基地188个，其中广西区级校外实践教学示范基地1个，实验、实习实训条件基本能够满足学生实验及实践教学需求。</w:t>
      </w:r>
    </w:p>
    <w:p>
      <w:pPr>
        <w:ind w:firstLine="480" w:firstLineChars="200"/>
        <w:rPr>
          <w:rFonts w:hint="eastAsia" w:ascii="宋体" w:hAnsi="宋体" w:eastAsia="宋体"/>
          <w:sz w:val="24"/>
          <w:lang w:eastAsia="zh-CN"/>
        </w:rPr>
      </w:pPr>
      <w:r>
        <w:rPr>
          <w:rFonts w:hint="eastAsia" w:ascii="宋体" w:hAnsi="宋体" w:eastAsia="宋体"/>
          <w:sz w:val="24"/>
          <w:szCs w:val="24"/>
          <w:u w:val="none"/>
          <w:lang w:val="en-US" w:eastAsia="zh-CN"/>
        </w:rPr>
        <w:t>加强学生管理与服务。</w:t>
      </w:r>
      <w:r>
        <w:rPr>
          <w:rFonts w:hint="eastAsia" w:ascii="宋体" w:hAnsi="宋体" w:eastAsia="宋体"/>
          <w:sz w:val="24"/>
        </w:rPr>
        <w:t>学校</w:t>
      </w:r>
      <w:r>
        <w:rPr>
          <w:rFonts w:hint="eastAsia" w:ascii="宋体" w:hAnsi="宋体" w:eastAsia="宋体"/>
          <w:sz w:val="24"/>
          <w:lang w:eastAsia="zh-CN"/>
        </w:rPr>
        <w:t>落实</w:t>
      </w:r>
      <w:r>
        <w:rPr>
          <w:rFonts w:hint="eastAsia" w:ascii="宋体" w:hAnsi="宋体" w:eastAsia="宋体"/>
          <w:sz w:val="24"/>
        </w:rPr>
        <w:t>“</w:t>
      </w:r>
      <w:r>
        <w:rPr>
          <w:rFonts w:hint="eastAsia" w:ascii="宋体" w:hAnsi="宋体" w:eastAsia="宋体"/>
          <w:sz w:val="24"/>
          <w:lang w:eastAsia="zh-CN"/>
        </w:rPr>
        <w:t>以学生为中心</w:t>
      </w:r>
      <w:r>
        <w:rPr>
          <w:rFonts w:hint="eastAsia" w:ascii="宋体" w:hAnsi="宋体" w:eastAsia="宋体"/>
          <w:sz w:val="24"/>
        </w:rPr>
        <w:t>”</w:t>
      </w:r>
      <w:r>
        <w:rPr>
          <w:rFonts w:hint="eastAsia" w:ascii="宋体" w:hAnsi="宋体" w:eastAsia="宋体"/>
          <w:sz w:val="24"/>
          <w:lang w:eastAsia="zh-CN"/>
        </w:rPr>
        <w:t>的教育</w:t>
      </w:r>
      <w:r>
        <w:rPr>
          <w:rFonts w:hint="eastAsia" w:ascii="宋体" w:hAnsi="宋体" w:eastAsia="宋体"/>
          <w:sz w:val="24"/>
        </w:rPr>
        <w:t>理念，不断优化和完善学生指导服务体系。</w:t>
      </w:r>
      <w:r>
        <w:rPr>
          <w:rFonts w:hint="eastAsia" w:ascii="宋体" w:hAnsi="宋体" w:eastAsia="宋体"/>
          <w:sz w:val="24"/>
          <w:lang w:eastAsia="zh-CN"/>
        </w:rPr>
        <w:t>配备数量足够、素质优良的学生工作队伍，现</w:t>
      </w:r>
      <w:r>
        <w:rPr>
          <w:rFonts w:hint="eastAsia" w:ascii="宋体" w:hAnsi="宋体" w:eastAsia="宋体"/>
          <w:sz w:val="24"/>
        </w:rPr>
        <w:t>有</w:t>
      </w:r>
      <w:r>
        <w:rPr>
          <w:rFonts w:hint="eastAsia" w:ascii="宋体" w:hAnsi="宋体" w:eastAsia="宋体"/>
          <w:sz w:val="24"/>
          <w:lang w:eastAsia="zh-CN"/>
        </w:rPr>
        <w:t>本科生</w:t>
      </w:r>
      <w:r>
        <w:rPr>
          <w:rFonts w:hint="eastAsia" w:ascii="宋体" w:hAnsi="宋体" w:eastAsia="宋体"/>
          <w:sz w:val="24"/>
        </w:rPr>
        <w:t>辅导员73人，按本科生数11881计算，学生与辅导员的比例为162:1</w:t>
      </w:r>
      <w:r>
        <w:rPr>
          <w:rFonts w:hint="eastAsia" w:ascii="宋体" w:hAnsi="宋体" w:eastAsia="宋体"/>
          <w:sz w:val="24"/>
          <w:lang w:eastAsia="zh-CN"/>
        </w:rPr>
        <w:t>；</w:t>
      </w:r>
      <w:r>
        <w:rPr>
          <w:rFonts w:hint="eastAsia" w:ascii="宋体" w:hAnsi="宋体" w:eastAsia="宋体"/>
          <w:sz w:val="24"/>
        </w:rPr>
        <w:t>配备</w:t>
      </w:r>
      <w:r>
        <w:rPr>
          <w:rFonts w:hint="eastAsia" w:ascii="宋体" w:hAnsi="宋体" w:eastAsia="宋体"/>
          <w:sz w:val="24"/>
          <w:lang w:eastAsia="zh-CN"/>
        </w:rPr>
        <w:t>有</w:t>
      </w:r>
      <w:r>
        <w:rPr>
          <w:rFonts w:hint="eastAsia" w:ascii="宋体" w:hAnsi="宋体" w:eastAsia="宋体"/>
          <w:sz w:val="24"/>
        </w:rPr>
        <w:t>专职的心理咨询工作人员4名，学生与心理咨询工作人员之比为2970.25:1</w:t>
      </w:r>
      <w:r>
        <w:rPr>
          <w:rFonts w:hint="eastAsia" w:ascii="宋体" w:hAnsi="宋体" w:eastAsia="宋体"/>
          <w:sz w:val="24"/>
          <w:lang w:eastAsia="zh-CN"/>
        </w:rPr>
        <w:t>；成立了辅导员发展研究中心，持续开展辅导员主题活动日活动，举办</w:t>
      </w:r>
      <w:r>
        <w:rPr>
          <w:rFonts w:hint="eastAsia" w:ascii="宋体" w:hAnsi="宋体" w:eastAsia="宋体"/>
          <w:sz w:val="24"/>
        </w:rPr>
        <w:t>辅导员职业能力大赛</w:t>
      </w:r>
      <w:r>
        <w:rPr>
          <w:rFonts w:hint="eastAsia" w:ascii="宋体" w:hAnsi="宋体" w:eastAsia="宋体"/>
          <w:sz w:val="24"/>
          <w:lang w:eastAsia="zh-CN"/>
        </w:rPr>
        <w:t>，为辅导员职业化、专业化提供了平台。</w:t>
      </w:r>
    </w:p>
    <w:p>
      <w:pPr>
        <w:ind w:firstLine="480" w:firstLineChars="200"/>
        <w:rPr>
          <w:rFonts w:hint="eastAsia" w:ascii="宋体" w:hAnsi="宋体" w:eastAsia="宋体"/>
          <w:sz w:val="24"/>
          <w:szCs w:val="24"/>
          <w:u w:val="none"/>
        </w:rPr>
      </w:pPr>
      <w:r>
        <w:rPr>
          <w:rFonts w:hint="eastAsia" w:ascii="宋体" w:hAnsi="宋体" w:eastAsia="宋体"/>
          <w:sz w:val="24"/>
          <w:lang w:val="en-US" w:eastAsia="zh-CN"/>
        </w:rPr>
        <w:t>2017-2018学年，学校</w:t>
      </w:r>
      <w:r>
        <w:rPr>
          <w:rFonts w:hint="eastAsia" w:ascii="宋体" w:hAnsi="宋体" w:eastAsia="宋体"/>
          <w:sz w:val="24"/>
        </w:rPr>
        <w:t>围绕立德树人的根本任务</w:t>
      </w:r>
      <w:r>
        <w:rPr>
          <w:rFonts w:hint="eastAsia" w:ascii="宋体" w:hAnsi="宋体" w:eastAsia="宋体"/>
          <w:sz w:val="24"/>
          <w:lang w:eastAsia="zh-CN"/>
        </w:rPr>
        <w:t>，始终</w:t>
      </w:r>
      <w:r>
        <w:rPr>
          <w:rFonts w:hint="eastAsia" w:ascii="宋体" w:hAnsi="宋体" w:eastAsia="宋体"/>
          <w:sz w:val="24"/>
        </w:rPr>
        <w:t>把思想政治工作摆在学生管理工作突出位置</w:t>
      </w:r>
      <w:r>
        <w:rPr>
          <w:rFonts w:hint="eastAsia" w:ascii="宋体" w:hAnsi="宋体" w:eastAsia="宋体"/>
          <w:sz w:val="24"/>
          <w:lang w:val="en-US" w:eastAsia="zh-CN"/>
        </w:rPr>
        <w:t>。</w:t>
      </w:r>
      <w:r>
        <w:rPr>
          <w:rFonts w:hint="eastAsia" w:ascii="宋体" w:hAnsi="宋体" w:eastAsia="宋体"/>
          <w:sz w:val="24"/>
          <w:lang w:eastAsia="zh-CN"/>
        </w:rPr>
        <w:t>加强第二课堂教育，</w:t>
      </w:r>
      <w:r>
        <w:rPr>
          <w:rFonts w:hint="eastAsia" w:ascii="宋体" w:hAnsi="宋体" w:eastAsia="宋体"/>
          <w:sz w:val="24"/>
        </w:rPr>
        <w:t>逐步</w:t>
      </w:r>
      <w:r>
        <w:rPr>
          <w:rFonts w:hint="eastAsia" w:ascii="宋体" w:hAnsi="宋体" w:eastAsia="宋体"/>
          <w:sz w:val="24"/>
          <w:lang w:val="en-US" w:eastAsia="zh-CN"/>
        </w:rPr>
        <w:t>形成了</w:t>
      </w:r>
      <w:r>
        <w:rPr>
          <w:rFonts w:hint="eastAsia" w:ascii="宋体" w:hAnsi="宋体" w:eastAsia="宋体"/>
          <w:sz w:val="24"/>
        </w:rPr>
        <w:t>第四届“书香南院”系列读书活动</w:t>
      </w:r>
      <w:r>
        <w:rPr>
          <w:rFonts w:hint="eastAsia" w:ascii="宋体" w:hAnsi="宋体" w:eastAsia="宋体"/>
          <w:sz w:val="24"/>
          <w:lang w:eastAsia="zh-CN"/>
        </w:rPr>
        <w:t>、</w:t>
      </w:r>
      <w:r>
        <w:rPr>
          <w:rFonts w:hint="eastAsia" w:ascii="宋体" w:hAnsi="宋体" w:eastAsia="宋体"/>
          <w:sz w:val="24"/>
          <w:lang w:val="en-US" w:eastAsia="zh-CN"/>
        </w:rPr>
        <w:t>中华经典诵读大赛等</w:t>
      </w:r>
      <w:r>
        <w:rPr>
          <w:rFonts w:hint="eastAsia" w:ascii="宋体" w:hAnsi="宋体" w:eastAsia="宋体"/>
          <w:sz w:val="24"/>
        </w:rPr>
        <w:t>一批语言工程品牌项目</w:t>
      </w:r>
      <w:r>
        <w:rPr>
          <w:rFonts w:hint="eastAsia" w:ascii="宋体" w:hAnsi="宋体" w:eastAsia="宋体"/>
          <w:sz w:val="24"/>
          <w:lang w:eastAsia="zh-CN"/>
        </w:rPr>
        <w:t>；与二级学院形成联动机制，开展各类学风建设主题活动，严肃课堂纪律，开展学风评比活动，学风建设成效显著；以安全教育课程、主题班会等方式深入开展安全教育；以学生宿舍才艺大赛和宿舍文化艺术节进一步完善学生宿舍管理；以落实国家各项资助政策，顺利评选各类奖学金，积极拓展校内勤工俭学做好学生资助工作；开展新生心理</w:t>
      </w:r>
      <w:r>
        <w:rPr>
          <w:rFonts w:hint="eastAsia" w:ascii="宋体" w:hAnsi="宋体" w:eastAsia="宋体"/>
          <w:sz w:val="24"/>
          <w:lang w:val="en-US" w:eastAsia="zh-CN"/>
        </w:rPr>
        <w:t>健康普查、</w:t>
      </w:r>
      <w:r>
        <w:rPr>
          <w:rFonts w:hint="eastAsia" w:ascii="宋体" w:hAnsi="宋体" w:eastAsia="宋体"/>
          <w:sz w:val="24"/>
        </w:rPr>
        <w:t>“5·25”大学生心理健康教育活动月系列活动</w:t>
      </w:r>
      <w:r>
        <w:rPr>
          <w:rFonts w:hint="eastAsia" w:ascii="宋体" w:hAnsi="宋体" w:eastAsia="宋体"/>
          <w:sz w:val="24"/>
          <w:lang w:eastAsia="zh-CN"/>
        </w:rPr>
        <w:t>等方式推进大学生心理健康教育工作。</w:t>
      </w:r>
    </w:p>
    <w:p>
      <w:pPr>
        <w:pStyle w:val="3"/>
        <w:jc w:val="left"/>
        <w:rPr>
          <w:rFonts w:hint="eastAsia" w:ascii="黑体" w:hAnsi="黑体" w:eastAsia="黑体"/>
          <w:sz w:val="28"/>
          <w:szCs w:val="28"/>
          <w:u w:val="none"/>
          <w:lang w:eastAsia="zh-CN"/>
        </w:rPr>
      </w:pPr>
      <w:bookmarkStart w:id="39" w:name="_Toc21843"/>
      <w:r>
        <w:rPr>
          <w:rFonts w:hint="eastAsia" w:ascii="黑体" w:hAnsi="黑体" w:eastAsia="黑体"/>
          <w:sz w:val="28"/>
          <w:szCs w:val="28"/>
          <w:u w:val="none"/>
          <w:lang w:eastAsia="zh-CN"/>
        </w:rPr>
        <w:t>（三）制定“以能力产出为导向”的应用型培养方案</w:t>
      </w:r>
      <w:bookmarkEnd w:id="39"/>
    </w:p>
    <w:p>
      <w:pPr>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学校围绕</w:t>
      </w:r>
      <w:r>
        <w:rPr>
          <w:rFonts w:hint="eastAsia" w:ascii="宋体" w:hAnsi="宋体" w:eastAsia="宋体"/>
          <w:color w:val="auto"/>
          <w:sz w:val="24"/>
          <w:szCs w:val="24"/>
          <w:lang w:eastAsia="zh-CN"/>
        </w:rPr>
        <w:t>“五有”的应用型人才培养目标，聚焦</w:t>
      </w:r>
      <w:r>
        <w:rPr>
          <w:rFonts w:hint="eastAsia" w:ascii="宋体" w:hAnsi="宋体" w:eastAsia="宋体"/>
          <w:color w:val="auto"/>
          <w:sz w:val="24"/>
          <w:szCs w:val="24"/>
        </w:rPr>
        <w:t>五个“突出”，进一步完善人才培养方案，科学构建课程体系，确保人才培养方案的严格执行。</w:t>
      </w:r>
    </w:p>
    <w:p>
      <w:pPr>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突出“品格”</w:t>
      </w:r>
      <w:r>
        <w:rPr>
          <w:rFonts w:hint="eastAsia" w:ascii="宋体" w:hAnsi="宋体" w:eastAsia="宋体"/>
          <w:color w:val="auto"/>
          <w:sz w:val="24"/>
          <w:szCs w:val="24"/>
          <w:lang w:eastAsia="zh-CN"/>
        </w:rPr>
        <w:t>，坚持立德树人</w:t>
      </w:r>
      <w:r>
        <w:rPr>
          <w:rFonts w:hint="eastAsia" w:ascii="宋体" w:hAnsi="宋体" w:eastAsia="宋体"/>
          <w:color w:val="auto"/>
          <w:sz w:val="24"/>
          <w:szCs w:val="24"/>
        </w:rPr>
        <w:t>。强调思想政治教育和劳动教育，构建全员、全过程、全方位“三全育人”格局，强化课程思政和专业思政相融合，培养学生人文情怀</w:t>
      </w:r>
      <w:r>
        <w:rPr>
          <w:rFonts w:hint="eastAsia" w:ascii="宋体" w:hAnsi="宋体" w:eastAsia="宋体"/>
          <w:color w:val="auto"/>
          <w:sz w:val="24"/>
          <w:szCs w:val="24"/>
          <w:lang w:eastAsia="zh-CN"/>
        </w:rPr>
        <w:t>、</w:t>
      </w:r>
      <w:r>
        <w:rPr>
          <w:rFonts w:hint="eastAsia" w:ascii="宋体" w:hAnsi="宋体" w:eastAsia="宋体"/>
          <w:color w:val="auto"/>
          <w:sz w:val="24"/>
          <w:szCs w:val="24"/>
        </w:rPr>
        <w:t>社会责任感。</w:t>
      </w:r>
    </w:p>
    <w:p>
      <w:pPr>
        <w:spacing w:line="240" w:lineRule="auto"/>
        <w:ind w:firstLine="480" w:firstLineChars="200"/>
        <w:jc w:val="left"/>
        <w:rPr>
          <w:rFonts w:hint="eastAsia" w:ascii="宋体" w:hAnsi="宋体" w:eastAsia="宋体"/>
          <w:color w:val="auto"/>
          <w:sz w:val="24"/>
          <w:szCs w:val="24"/>
          <w:u w:val="none"/>
        </w:rPr>
      </w:pPr>
      <w:r>
        <w:rPr>
          <w:rFonts w:hint="eastAsia" w:ascii="宋体" w:hAnsi="宋体" w:eastAsia="宋体"/>
          <w:color w:val="auto"/>
          <w:sz w:val="24"/>
          <w:szCs w:val="24"/>
        </w:rPr>
        <w:t>突出“应用”，完善</w:t>
      </w:r>
      <w:r>
        <w:rPr>
          <w:rFonts w:hint="eastAsia" w:ascii="宋体" w:hAnsi="宋体" w:eastAsia="宋体"/>
          <w:color w:val="auto"/>
          <w:sz w:val="24"/>
          <w:szCs w:val="24"/>
          <w:lang w:eastAsia="zh-CN"/>
        </w:rPr>
        <w:t>课程体系</w:t>
      </w:r>
      <w:r>
        <w:rPr>
          <w:rFonts w:hint="eastAsia" w:ascii="宋体" w:hAnsi="宋体" w:eastAsia="宋体"/>
          <w:color w:val="auto"/>
          <w:sz w:val="24"/>
          <w:szCs w:val="24"/>
        </w:rPr>
        <w:t>。</w:t>
      </w:r>
      <w:r>
        <w:rPr>
          <w:rFonts w:hint="eastAsia" w:ascii="宋体" w:hAnsi="宋体" w:eastAsia="宋体"/>
          <w:bCs w:val="0"/>
          <w:color w:val="auto"/>
          <w:sz w:val="24"/>
          <w:szCs w:val="24"/>
        </w:rPr>
        <w:t>构建工作过程系统化的应用型课程体系。</w:t>
      </w:r>
      <w:r>
        <w:rPr>
          <w:rFonts w:hint="eastAsia" w:ascii="宋体" w:hAnsi="宋体" w:eastAsia="宋体"/>
          <w:color w:val="auto"/>
          <w:sz w:val="24"/>
          <w:szCs w:val="24"/>
        </w:rPr>
        <w:t>各专业摒弃传统的以学科为中心构建教学内容的课程体系，根据学校办学定位，广泛调研，以工作过程为导向与产业、行业联合开发应用型课程体系，使学生获得与工作岗位需要相一致的职业能力。课程体系最终体现“五个导向”：模式上，实现知识贮备体系到知识应用体系的课程模式转型；内容上，与产业、职业、行业标准及流程结合，为学生提供体验完整工作过程的学习机会，建立工作任务与知识、技能的联系，突出应用能力的培养，以能力导向取代知识导向，逐步实现从学习者到工作者的角色转换；资源上，引入社会力量共同开发课程资源，紧贴行业、生产一线课程资源开发、积累教材；手段上，以技术手段的创新运用，增添课程吸引力；学习上，从以知识为载体的记忆型学习转变为以知识应用和解决问题为导向的应用型学习。</w:t>
      </w:r>
    </w:p>
    <w:p>
      <w:pPr>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突出“创新创业”教育</w:t>
      </w:r>
      <w:r>
        <w:rPr>
          <w:rFonts w:hint="eastAsia" w:ascii="宋体" w:hAnsi="宋体" w:eastAsia="宋体"/>
          <w:color w:val="auto"/>
          <w:sz w:val="24"/>
          <w:szCs w:val="24"/>
          <w:lang w:eastAsia="zh-CN"/>
        </w:rPr>
        <w:t>，培养学生创新实践能力。</w:t>
      </w:r>
      <w:r>
        <w:rPr>
          <w:rFonts w:hint="eastAsia" w:ascii="宋体" w:hAnsi="宋体" w:eastAsia="宋体"/>
          <w:color w:val="auto"/>
          <w:sz w:val="24"/>
          <w:szCs w:val="24"/>
        </w:rPr>
        <w:t>学校将创新创业教育纳入人才培养体系，贯穿人才培养全过程。构建创新创业课程与实践体系，由创新创业基础板块、创新创业进阶板块、创新创业实践及素质拓展平台三部分构成，学生须修满6学分，其中必修课2学分，创新创业实践学分4学分，另有选修课2学分。提高实践环节学分比例，突出培养学生实践动手能力。</w:t>
      </w:r>
    </w:p>
    <w:p>
      <w:pPr>
        <w:spacing w:line="240" w:lineRule="auto"/>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突出“能力”，改进教学和评价方式。结合学校办学定位和人才培养目标，以学生与学生能力为本，以教</w:t>
      </w:r>
      <w:r>
        <w:rPr>
          <w:rFonts w:hint="eastAsia" w:ascii="宋体" w:hAnsi="宋体" w:eastAsia="宋体"/>
          <w:color w:val="auto"/>
          <w:sz w:val="24"/>
          <w:szCs w:val="24"/>
          <w:highlight w:val="none"/>
        </w:rPr>
        <w:t>室与</w:t>
      </w:r>
      <w:r>
        <w:rPr>
          <w:rFonts w:hint="eastAsia" w:ascii="宋体" w:hAnsi="宋体" w:eastAsia="宋体"/>
          <w:color w:val="auto"/>
          <w:sz w:val="24"/>
          <w:szCs w:val="24"/>
        </w:rPr>
        <w:t>实验室的一体化建设为基本教学空间，常态使用参与式学习、团队学习、项目驱动、案例分析、模拟训练等教学方法，重在培养学生的应用意识和解决实际问题的能力。以实践动手能力考核为标准，使用多元化考核方式，多方面、多途径评价学生的学业，突破试卷与分数，用更接近生产与技术的方法评价学生的学习收获，突出解决学生的实践动手能力。</w:t>
      </w:r>
    </w:p>
    <w:p>
      <w:pPr>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突出“质量”，确保培养方案严格执行。对人才培养方案从方案制订、方案的评价、方案执行三个方面把好关，根据行业需求定期对人才培养质量与培养目标的吻合程度进行评估，委托</w:t>
      </w:r>
      <w:r>
        <w:rPr>
          <w:rFonts w:hint="eastAsia" w:ascii="宋体" w:hAnsi="宋体" w:eastAsia="宋体"/>
          <w:color w:val="auto"/>
          <w:sz w:val="24"/>
          <w:szCs w:val="24"/>
          <w:lang w:eastAsia="zh-CN"/>
        </w:rPr>
        <w:t>第三方</w:t>
      </w:r>
      <w:r>
        <w:rPr>
          <w:rFonts w:hint="eastAsia" w:ascii="宋体" w:hAnsi="宋体" w:eastAsia="宋体"/>
          <w:color w:val="auto"/>
          <w:sz w:val="24"/>
          <w:szCs w:val="24"/>
        </w:rPr>
        <w:t>进行</w:t>
      </w:r>
      <w:r>
        <w:rPr>
          <w:rFonts w:hint="eastAsia" w:ascii="宋体" w:hAnsi="宋体" w:eastAsia="宋体"/>
          <w:color w:val="auto"/>
          <w:sz w:val="24"/>
          <w:szCs w:val="24"/>
          <w:lang w:eastAsia="zh-CN"/>
        </w:rPr>
        <w:t>毕业生就业质量跟踪</w:t>
      </w:r>
      <w:r>
        <w:rPr>
          <w:rFonts w:hint="eastAsia" w:ascii="宋体" w:hAnsi="宋体" w:eastAsia="宋体"/>
          <w:color w:val="auto"/>
          <w:sz w:val="24"/>
          <w:szCs w:val="24"/>
        </w:rPr>
        <w:t>调研，建立适时调整专业发展定位和人才培养目标的有效机制。</w:t>
      </w:r>
    </w:p>
    <w:p>
      <w:pPr>
        <w:ind w:firstLine="480" w:firstLineChars="200"/>
        <w:jc w:val="left"/>
        <w:rPr>
          <w:rFonts w:hint="eastAsia" w:ascii="宋体" w:hAnsi="宋体" w:eastAsia="宋体"/>
          <w:color w:val="auto"/>
          <w:sz w:val="24"/>
          <w:szCs w:val="24"/>
        </w:rPr>
      </w:pPr>
    </w:p>
    <w:p>
      <w:pPr>
        <w:ind w:firstLine="480" w:firstLineChars="200"/>
        <w:jc w:val="left"/>
        <w:rPr>
          <w:rFonts w:hint="eastAsia" w:ascii="宋体" w:hAnsi="宋体" w:eastAsia="宋体"/>
          <w:color w:val="auto"/>
          <w:sz w:val="24"/>
          <w:szCs w:val="24"/>
        </w:rPr>
      </w:pPr>
    </w:p>
    <w:p>
      <w:pPr>
        <w:ind w:firstLine="480" w:firstLineChars="200"/>
        <w:jc w:val="left"/>
        <w:rPr>
          <w:rFonts w:hint="eastAsia" w:ascii="宋体" w:hAnsi="宋体" w:eastAsia="宋体"/>
          <w:color w:val="auto"/>
          <w:sz w:val="24"/>
          <w:szCs w:val="24"/>
        </w:rPr>
      </w:pPr>
    </w:p>
    <w:p>
      <w:pPr>
        <w:ind w:firstLine="482" w:firstLineChars="200"/>
        <w:jc w:val="center"/>
        <w:rPr>
          <w:rFonts w:hint="eastAsia" w:ascii="宋体" w:hAnsi="宋体" w:eastAsia="宋体"/>
          <w:b/>
          <w:bCs/>
          <w:color w:val="auto"/>
          <w:sz w:val="24"/>
          <w:szCs w:val="24"/>
          <w:u w:val="none"/>
          <w:lang w:eastAsia="zh-CN"/>
        </w:rPr>
      </w:pPr>
      <w:r>
        <w:rPr>
          <w:rFonts w:hint="eastAsia" w:ascii="宋体" w:hAnsi="宋体" w:eastAsia="宋体"/>
          <w:b/>
          <w:bCs/>
          <w:color w:val="auto"/>
          <w:sz w:val="24"/>
          <w:szCs w:val="24"/>
          <w:lang w:eastAsia="zh-CN"/>
        </w:rPr>
        <w:t>表</w:t>
      </w:r>
      <w:r>
        <w:rPr>
          <w:rFonts w:hint="eastAsia" w:ascii="宋体" w:hAnsi="宋体" w:eastAsia="宋体"/>
          <w:b/>
          <w:bCs/>
          <w:color w:val="auto"/>
          <w:sz w:val="24"/>
          <w:szCs w:val="24"/>
          <w:lang w:val="en-US" w:eastAsia="zh-CN"/>
        </w:rPr>
        <w:t>6  南宁学院2017级培养方案本科专业培养方案学分统计表</w:t>
      </w:r>
    </w:p>
    <w:tbl>
      <w:tblPr>
        <w:tblStyle w:val="15"/>
        <w:tblW w:w="5674" w:type="dxa"/>
        <w:jc w:val="center"/>
        <w:tblInd w:w="-35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8"/>
        <w:gridCol w:w="1536"/>
        <w:gridCol w:w="1500"/>
        <w:gridCol w:w="16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tblHeader/>
          <w:jc w:val="center"/>
        </w:trPr>
        <w:tc>
          <w:tcPr>
            <w:tcW w:w="948" w:type="dxa"/>
            <w:vAlign w:val="center"/>
          </w:tcPr>
          <w:p>
            <w:pPr>
              <w:jc w:val="center"/>
            </w:pPr>
            <w:r>
              <w:rPr>
                <w:rFonts w:hint="eastAsia" w:ascii="宋体" w:hAnsi="宋体" w:eastAsia="宋体"/>
                <w:b/>
                <w:sz w:val="24"/>
                <w:szCs w:val="24"/>
              </w:rPr>
              <w:t>学科</w:t>
            </w:r>
          </w:p>
        </w:tc>
        <w:tc>
          <w:tcPr>
            <w:tcW w:w="1536" w:type="dxa"/>
            <w:vAlign w:val="center"/>
          </w:tcPr>
          <w:p>
            <w:pPr>
              <w:jc w:val="center"/>
            </w:pPr>
            <w:r>
              <w:rPr>
                <w:rFonts w:hint="eastAsia" w:ascii="宋体" w:hAnsi="宋体" w:eastAsia="宋体"/>
                <w:b/>
                <w:sz w:val="24"/>
                <w:szCs w:val="24"/>
              </w:rPr>
              <w:t>必修课学分比例</w:t>
            </w:r>
          </w:p>
        </w:tc>
        <w:tc>
          <w:tcPr>
            <w:tcW w:w="1500" w:type="dxa"/>
            <w:vAlign w:val="center"/>
          </w:tcPr>
          <w:p>
            <w:pPr>
              <w:jc w:val="center"/>
            </w:pPr>
            <w:r>
              <w:rPr>
                <w:rFonts w:hint="eastAsia" w:ascii="宋体" w:hAnsi="宋体" w:eastAsia="宋体"/>
                <w:b/>
                <w:sz w:val="24"/>
                <w:szCs w:val="24"/>
              </w:rPr>
              <w:t>选修课学分比例</w:t>
            </w:r>
          </w:p>
        </w:tc>
        <w:tc>
          <w:tcPr>
            <w:tcW w:w="1690" w:type="dxa"/>
            <w:vAlign w:val="center"/>
          </w:tcPr>
          <w:p>
            <w:pPr>
              <w:jc w:val="center"/>
            </w:pPr>
            <w:r>
              <w:rPr>
                <w:rFonts w:hint="eastAsia" w:ascii="宋体" w:hAnsi="宋体" w:eastAsia="宋体"/>
                <w:b/>
                <w:sz w:val="24"/>
                <w:szCs w:val="24"/>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948" w:type="dxa"/>
            <w:vAlign w:val="center"/>
          </w:tcPr>
          <w:p>
            <w:pPr>
              <w:jc w:val="center"/>
            </w:pPr>
            <w:r>
              <w:rPr>
                <w:rFonts w:hint="eastAsia" w:ascii="宋体" w:hAnsi="宋体" w:eastAsia="宋体"/>
                <w:sz w:val="24"/>
                <w:szCs w:val="24"/>
              </w:rPr>
              <w:t>工学</w:t>
            </w:r>
          </w:p>
        </w:tc>
        <w:tc>
          <w:tcPr>
            <w:tcW w:w="1536" w:type="dxa"/>
            <w:vAlign w:val="center"/>
          </w:tcPr>
          <w:p>
            <w:pPr>
              <w:jc w:val="center"/>
            </w:pPr>
            <w:r>
              <w:rPr>
                <w:rFonts w:hint="eastAsia" w:ascii="宋体" w:hAnsi="宋体" w:eastAsia="宋体"/>
                <w:sz w:val="24"/>
                <w:szCs w:val="24"/>
              </w:rPr>
              <w:t>84.58</w:t>
            </w:r>
          </w:p>
        </w:tc>
        <w:tc>
          <w:tcPr>
            <w:tcW w:w="1500" w:type="dxa"/>
            <w:vAlign w:val="center"/>
          </w:tcPr>
          <w:p>
            <w:pPr>
              <w:jc w:val="center"/>
            </w:pPr>
            <w:r>
              <w:rPr>
                <w:rFonts w:hint="eastAsia" w:ascii="宋体" w:hAnsi="宋体" w:eastAsia="宋体"/>
                <w:sz w:val="24"/>
                <w:szCs w:val="24"/>
              </w:rPr>
              <w:t>15.42</w:t>
            </w:r>
          </w:p>
        </w:tc>
        <w:tc>
          <w:tcPr>
            <w:tcW w:w="1690" w:type="dxa"/>
            <w:vAlign w:val="center"/>
          </w:tcPr>
          <w:p>
            <w:pPr>
              <w:jc w:val="center"/>
            </w:pPr>
            <w:r>
              <w:rPr>
                <w:rFonts w:hint="eastAsia" w:ascii="宋体" w:hAnsi="宋体" w:eastAsia="宋体"/>
                <w:sz w:val="24"/>
                <w:szCs w:val="24"/>
              </w:rPr>
              <w:t>33.63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948" w:type="dxa"/>
            <w:vAlign w:val="center"/>
          </w:tcPr>
          <w:p>
            <w:pPr>
              <w:jc w:val="center"/>
            </w:pPr>
            <w:r>
              <w:rPr>
                <w:rFonts w:hint="eastAsia" w:ascii="宋体" w:hAnsi="宋体" w:eastAsia="宋体"/>
                <w:sz w:val="24"/>
                <w:szCs w:val="24"/>
              </w:rPr>
              <w:t>经济学</w:t>
            </w:r>
          </w:p>
        </w:tc>
        <w:tc>
          <w:tcPr>
            <w:tcW w:w="1536" w:type="dxa"/>
            <w:vAlign w:val="center"/>
          </w:tcPr>
          <w:p>
            <w:pPr>
              <w:jc w:val="center"/>
            </w:pPr>
            <w:r>
              <w:rPr>
                <w:rFonts w:hint="eastAsia" w:ascii="宋体" w:hAnsi="宋体" w:eastAsia="宋体"/>
                <w:sz w:val="24"/>
                <w:szCs w:val="24"/>
              </w:rPr>
              <w:t>83.73</w:t>
            </w:r>
          </w:p>
        </w:tc>
        <w:tc>
          <w:tcPr>
            <w:tcW w:w="1500" w:type="dxa"/>
            <w:vAlign w:val="center"/>
          </w:tcPr>
          <w:p>
            <w:pPr>
              <w:jc w:val="center"/>
            </w:pPr>
            <w:r>
              <w:rPr>
                <w:rFonts w:hint="eastAsia" w:ascii="宋体" w:hAnsi="宋体" w:eastAsia="宋体"/>
                <w:sz w:val="24"/>
                <w:szCs w:val="24"/>
              </w:rPr>
              <w:t>16.27</w:t>
            </w:r>
          </w:p>
        </w:tc>
        <w:tc>
          <w:tcPr>
            <w:tcW w:w="1690" w:type="dxa"/>
            <w:vAlign w:val="center"/>
          </w:tcPr>
          <w:p>
            <w:pPr>
              <w:jc w:val="center"/>
            </w:pPr>
            <w:r>
              <w:rPr>
                <w:rFonts w:hint="eastAsia" w:ascii="宋体" w:hAnsi="宋体" w:eastAsia="宋体"/>
                <w:sz w:val="24"/>
                <w:szCs w:val="24"/>
              </w:rPr>
              <w:t>25.90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948" w:type="dxa"/>
            <w:vAlign w:val="center"/>
          </w:tcPr>
          <w:p>
            <w:pPr>
              <w:jc w:val="center"/>
            </w:pPr>
            <w:r>
              <w:rPr>
                <w:rFonts w:hint="eastAsia" w:ascii="宋体" w:hAnsi="宋体" w:eastAsia="宋体"/>
                <w:sz w:val="24"/>
                <w:szCs w:val="24"/>
              </w:rPr>
              <w:t>管理学</w:t>
            </w:r>
          </w:p>
        </w:tc>
        <w:tc>
          <w:tcPr>
            <w:tcW w:w="1536" w:type="dxa"/>
            <w:vAlign w:val="center"/>
          </w:tcPr>
          <w:p>
            <w:pPr>
              <w:jc w:val="center"/>
            </w:pPr>
            <w:r>
              <w:rPr>
                <w:rFonts w:hint="eastAsia" w:ascii="宋体" w:hAnsi="宋体" w:eastAsia="宋体"/>
                <w:sz w:val="24"/>
                <w:szCs w:val="24"/>
              </w:rPr>
              <w:t>80.34</w:t>
            </w:r>
          </w:p>
        </w:tc>
        <w:tc>
          <w:tcPr>
            <w:tcW w:w="1500" w:type="dxa"/>
            <w:vAlign w:val="center"/>
          </w:tcPr>
          <w:p>
            <w:pPr>
              <w:jc w:val="center"/>
            </w:pPr>
            <w:r>
              <w:rPr>
                <w:rFonts w:hint="eastAsia" w:ascii="宋体" w:hAnsi="宋体" w:eastAsia="宋体"/>
                <w:sz w:val="24"/>
                <w:szCs w:val="24"/>
              </w:rPr>
              <w:t>19.66</w:t>
            </w:r>
          </w:p>
        </w:tc>
        <w:tc>
          <w:tcPr>
            <w:tcW w:w="1690" w:type="dxa"/>
            <w:vAlign w:val="center"/>
          </w:tcPr>
          <w:p>
            <w:pPr>
              <w:jc w:val="center"/>
            </w:pPr>
            <w:r>
              <w:rPr>
                <w:rFonts w:hint="eastAsia" w:ascii="宋体" w:hAnsi="宋体" w:eastAsia="宋体"/>
                <w:sz w:val="24"/>
                <w:szCs w:val="24"/>
              </w:rPr>
              <w:t>28.13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1" w:hRule="atLeast"/>
          <w:jc w:val="center"/>
        </w:trPr>
        <w:tc>
          <w:tcPr>
            <w:tcW w:w="948" w:type="dxa"/>
            <w:vAlign w:val="center"/>
          </w:tcPr>
          <w:p>
            <w:pPr>
              <w:jc w:val="center"/>
            </w:pPr>
            <w:r>
              <w:rPr>
                <w:rFonts w:hint="eastAsia" w:ascii="宋体" w:hAnsi="宋体" w:eastAsia="宋体"/>
                <w:sz w:val="24"/>
                <w:szCs w:val="24"/>
              </w:rPr>
              <w:t>艺术学</w:t>
            </w:r>
          </w:p>
        </w:tc>
        <w:tc>
          <w:tcPr>
            <w:tcW w:w="1536" w:type="dxa"/>
            <w:vAlign w:val="center"/>
          </w:tcPr>
          <w:p>
            <w:pPr>
              <w:jc w:val="center"/>
            </w:pPr>
            <w:r>
              <w:rPr>
                <w:rFonts w:hint="eastAsia" w:ascii="宋体" w:hAnsi="宋体" w:eastAsia="宋体"/>
                <w:sz w:val="24"/>
                <w:szCs w:val="24"/>
              </w:rPr>
              <w:t>73.69</w:t>
            </w:r>
          </w:p>
        </w:tc>
        <w:tc>
          <w:tcPr>
            <w:tcW w:w="1500" w:type="dxa"/>
            <w:vAlign w:val="center"/>
          </w:tcPr>
          <w:p>
            <w:pPr>
              <w:jc w:val="center"/>
            </w:pPr>
            <w:r>
              <w:rPr>
                <w:rFonts w:hint="eastAsia" w:ascii="宋体" w:hAnsi="宋体" w:eastAsia="宋体"/>
                <w:sz w:val="24"/>
                <w:szCs w:val="24"/>
              </w:rPr>
              <w:t>26.31</w:t>
            </w:r>
          </w:p>
        </w:tc>
        <w:tc>
          <w:tcPr>
            <w:tcW w:w="1690" w:type="dxa"/>
            <w:vAlign w:val="center"/>
          </w:tcPr>
          <w:p>
            <w:pPr>
              <w:jc w:val="center"/>
            </w:pPr>
            <w:r>
              <w:rPr>
                <w:rFonts w:hint="eastAsia" w:ascii="宋体" w:hAnsi="宋体" w:eastAsia="宋体"/>
                <w:sz w:val="24"/>
                <w:szCs w:val="24"/>
              </w:rPr>
              <w:t>31.93</w:t>
            </w:r>
          </w:p>
        </w:tc>
      </w:tr>
    </w:tbl>
    <w:p>
      <w:pPr>
        <w:pStyle w:val="2"/>
        <w:jc w:val="left"/>
        <w:rPr>
          <w:rFonts w:hint="eastAsia" w:ascii="黑体" w:hAnsi="黑体" w:eastAsia="黑体"/>
          <w:sz w:val="28"/>
          <w:szCs w:val="28"/>
          <w:lang w:val="en-US" w:eastAsia="zh-CN"/>
        </w:rPr>
      </w:pPr>
      <w:bookmarkStart w:id="40" w:name="_Toc6549"/>
      <w:r>
        <w:rPr>
          <w:rFonts w:hint="eastAsia" w:ascii="黑体" w:hAnsi="黑体" w:eastAsia="黑体"/>
          <w:sz w:val="28"/>
          <w:szCs w:val="28"/>
          <w:lang w:val="en-US" w:eastAsia="zh-CN"/>
        </w:rPr>
        <w:t>五、质量保障体系</w:t>
      </w:r>
      <w:bookmarkEnd w:id="40"/>
    </w:p>
    <w:p>
      <w:pPr>
        <w:pStyle w:val="3"/>
        <w:rPr>
          <w:rFonts w:hint="eastAsia" w:ascii="黑体" w:hAnsi="黑体" w:eastAsia="黑体"/>
          <w:sz w:val="28"/>
          <w:szCs w:val="28"/>
          <w:lang w:eastAsia="zh-CN"/>
        </w:rPr>
      </w:pPr>
      <w:bookmarkStart w:id="41" w:name="_Toc29740"/>
      <w:r>
        <w:rPr>
          <w:rFonts w:hint="eastAsia" w:ascii="黑体" w:hAnsi="黑体" w:eastAsia="黑体"/>
          <w:sz w:val="28"/>
          <w:szCs w:val="28"/>
        </w:rPr>
        <w:t>（一）</w:t>
      </w:r>
      <w:r>
        <w:rPr>
          <w:rFonts w:hint="eastAsia" w:ascii="黑体" w:hAnsi="黑体" w:eastAsia="黑体"/>
          <w:sz w:val="28"/>
          <w:szCs w:val="28"/>
          <w:lang w:eastAsia="zh-CN"/>
        </w:rPr>
        <w:t>落实人才培养中心地位</w:t>
      </w:r>
      <w:bookmarkEnd w:id="41"/>
    </w:p>
    <w:p>
      <w:pPr>
        <w:ind w:firstLine="480" w:firstLineChars="200"/>
        <w:jc w:val="left"/>
        <w:rPr>
          <w:rFonts w:hint="eastAsia" w:ascii="宋体" w:hAnsi="宋体" w:eastAsia="宋体" w:cstheme="minorBidi"/>
          <w:sz w:val="24"/>
          <w:szCs w:val="24"/>
          <w:u w:val="none"/>
          <w:lang w:eastAsia="zh-CN"/>
        </w:rPr>
      </w:pPr>
      <w:r>
        <w:rPr>
          <w:rFonts w:hint="eastAsia" w:ascii="宋体" w:hAnsi="宋体" w:eastAsia="宋体"/>
          <w:sz w:val="24"/>
          <w:szCs w:val="24"/>
          <w:u w:val="none"/>
          <w:lang w:eastAsia="zh-CN"/>
        </w:rPr>
        <w:t>明确教学工作中心地位。学校确立了“三中心”</w:t>
      </w:r>
      <w:r>
        <w:rPr>
          <w:rFonts w:hint="eastAsia" w:ascii="宋体" w:hAnsi="宋体" w:eastAsia="宋体" w:cstheme="minorBidi"/>
          <w:sz w:val="24"/>
          <w:szCs w:val="24"/>
          <w:u w:val="none"/>
        </w:rPr>
        <w:t>（工作以教学为中心，教学以学生发展为中心，发展以质量为中心）</w:t>
      </w:r>
      <w:r>
        <w:rPr>
          <w:rFonts w:hint="eastAsia" w:ascii="宋体" w:hAnsi="宋体" w:eastAsia="宋体"/>
          <w:sz w:val="24"/>
          <w:szCs w:val="24"/>
          <w:u w:val="none"/>
          <w:lang w:eastAsia="zh-CN"/>
        </w:rPr>
        <w:t>、</w:t>
      </w:r>
      <w:r>
        <w:rPr>
          <w:rFonts w:hint="eastAsia" w:ascii="宋体" w:hAnsi="宋体" w:eastAsia="宋体" w:cstheme="minorBidi"/>
          <w:sz w:val="24"/>
          <w:szCs w:val="24"/>
          <w:u w:val="none"/>
        </w:rPr>
        <w:t>“三地位”（教学</w:t>
      </w:r>
      <w:r>
        <w:rPr>
          <w:rFonts w:hint="eastAsia" w:ascii="宋体" w:hAnsi="宋体" w:eastAsia="宋体" w:cstheme="minorBidi"/>
          <w:sz w:val="24"/>
          <w:szCs w:val="24"/>
          <w:u w:val="none"/>
          <w:lang w:eastAsia="zh-CN"/>
        </w:rPr>
        <w:t>工作</w:t>
      </w:r>
      <w:r>
        <w:rPr>
          <w:rFonts w:hint="eastAsia" w:ascii="宋体" w:hAnsi="宋体" w:eastAsia="宋体" w:cstheme="minorBidi"/>
          <w:sz w:val="24"/>
          <w:szCs w:val="24"/>
          <w:u w:val="none"/>
        </w:rPr>
        <w:t>中心地位，教学改革核心地位，教学建设优先地位）</w:t>
      </w:r>
      <w:r>
        <w:rPr>
          <w:rFonts w:hint="eastAsia" w:ascii="宋体" w:hAnsi="宋体" w:eastAsia="宋体" w:cstheme="minorBidi"/>
          <w:sz w:val="24"/>
          <w:szCs w:val="24"/>
          <w:u w:val="none"/>
          <w:lang w:eastAsia="zh-CN"/>
        </w:rPr>
        <w:t>，明确院长是本科教育教学质量的第一责任人，坚持本科教学质量院长亲自抓，将本科教学工作纳入学校重要议事日程，学校的发展规划、年度工作计划要突出教学中心工作。学校在领导精力、师资力量、经费保障、资源配置、管理服务等方面重点向教学工作倾斜，将本科教学质量作为教职工绩效考核的重要指标。</w:t>
      </w:r>
    </w:p>
    <w:p>
      <w:pPr>
        <w:ind w:firstLine="480" w:firstLineChars="200"/>
        <w:jc w:val="left"/>
        <w:rPr>
          <w:rFonts w:hint="eastAsia" w:ascii="宋体" w:hAnsi="宋体" w:eastAsia="宋体"/>
          <w:sz w:val="24"/>
          <w:szCs w:val="24"/>
          <w:u w:val="none"/>
          <w:lang w:val="en-US" w:eastAsia="zh-CN"/>
        </w:rPr>
      </w:pPr>
      <w:r>
        <w:rPr>
          <w:rFonts w:hint="eastAsia" w:ascii="宋体" w:hAnsi="宋体" w:eastAsia="宋体" w:cstheme="minorBidi"/>
          <w:sz w:val="24"/>
          <w:szCs w:val="24"/>
          <w:u w:val="none"/>
          <w:lang w:eastAsia="zh-CN"/>
        </w:rPr>
        <w:t>党政领导重视教学工作。</w:t>
      </w:r>
      <w:r>
        <w:rPr>
          <w:rFonts w:hint="eastAsia" w:ascii="宋体" w:hAnsi="宋体" w:eastAsia="宋体"/>
          <w:sz w:val="24"/>
          <w:szCs w:val="24"/>
          <w:u w:val="none"/>
        </w:rPr>
        <w:t>董事会、校长办公会（党政联席会）始终将教学工作列入会议主要议事范畴</w:t>
      </w:r>
      <w:r>
        <w:rPr>
          <w:rFonts w:hint="eastAsia" w:ascii="宋体" w:hAnsi="宋体" w:eastAsia="宋体"/>
          <w:sz w:val="24"/>
          <w:szCs w:val="24"/>
          <w:u w:val="none"/>
          <w:lang w:eastAsia="zh-CN"/>
        </w:rPr>
        <w:t>；</w:t>
      </w:r>
      <w:r>
        <w:rPr>
          <w:rFonts w:hint="eastAsia" w:ascii="宋体" w:hAnsi="宋体" w:eastAsia="宋体"/>
          <w:sz w:val="24"/>
          <w:szCs w:val="24"/>
          <w:u w:val="none"/>
        </w:rPr>
        <w:t>定期开展教学工作大会、教学工作例会制度，</w:t>
      </w:r>
      <w:r>
        <w:rPr>
          <w:rFonts w:hint="eastAsia" w:ascii="宋体" w:hAnsi="宋体" w:eastAsia="宋体"/>
          <w:sz w:val="24"/>
          <w:szCs w:val="24"/>
          <w:u w:val="none"/>
          <w:lang w:eastAsia="zh-CN"/>
        </w:rPr>
        <w:t>及时通报教学情况，改进教学质量；召开</w:t>
      </w:r>
      <w:r>
        <w:rPr>
          <w:rFonts w:hint="eastAsia" w:ascii="宋体" w:hAnsi="宋体" w:eastAsia="宋体"/>
          <w:sz w:val="24"/>
          <w:szCs w:val="24"/>
          <w:u w:val="none"/>
        </w:rPr>
        <w:t>实验室建设论证、培养方案论证、教学能力比赛等教学活动</w:t>
      </w:r>
      <w:r>
        <w:rPr>
          <w:rFonts w:hint="eastAsia" w:ascii="宋体" w:hAnsi="宋体" w:eastAsia="宋体"/>
          <w:sz w:val="24"/>
          <w:szCs w:val="24"/>
          <w:u w:val="none"/>
          <w:lang w:eastAsia="zh-CN"/>
        </w:rPr>
        <w:t>专项大会，研究解决教学过程中产生的问题；</w:t>
      </w:r>
      <w:r>
        <w:rPr>
          <w:rFonts w:hint="eastAsia" w:ascii="宋体" w:hAnsi="宋体" w:eastAsia="宋体"/>
          <w:sz w:val="24"/>
          <w:szCs w:val="24"/>
          <w:u w:val="none"/>
        </w:rPr>
        <w:t>建立校领导联系二级教学院部工作机制</w:t>
      </w:r>
      <w:r>
        <w:rPr>
          <w:rFonts w:hint="eastAsia" w:ascii="宋体" w:hAnsi="宋体" w:eastAsia="宋体"/>
          <w:sz w:val="24"/>
          <w:szCs w:val="24"/>
          <w:u w:val="none"/>
          <w:lang w:eastAsia="zh-CN"/>
        </w:rPr>
        <w:t>、领导听课制度，深入教学一线调查研究，听取反馈意见；定期召开教学工作学生、教师座谈会，听取意见建议。</w:t>
      </w:r>
      <w:r>
        <w:rPr>
          <w:rFonts w:hint="eastAsia" w:ascii="宋体" w:hAnsi="宋体" w:eastAsia="宋体"/>
          <w:sz w:val="24"/>
          <w:szCs w:val="24"/>
          <w:u w:val="none"/>
          <w:lang w:val="en-US" w:eastAsia="zh-CN"/>
        </w:rPr>
        <w:t>2017-2018学年，学校中层以上领导干部听课累计730节次。</w:t>
      </w:r>
    </w:p>
    <w:p>
      <w:pPr>
        <w:ind w:firstLine="480" w:firstLineChars="200"/>
        <w:jc w:val="left"/>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经费优先保障教学。</w:t>
      </w:r>
      <w:r>
        <w:rPr>
          <w:rFonts w:hint="eastAsia" w:ascii="宋体" w:hAnsi="宋体" w:eastAsia="宋体" w:cstheme="minorBidi"/>
          <w:sz w:val="24"/>
          <w:szCs w:val="24"/>
          <w:u w:val="none"/>
        </w:rPr>
        <w:t>作为民办高校，学校在经费非常紧张的情况下，仍坚持教学投入优先地位，通过多渠道筹措资金，不断加大教学经费投入，对于教学日常运转、</w:t>
      </w:r>
      <w:r>
        <w:rPr>
          <w:rFonts w:hint="eastAsia" w:ascii="宋体" w:hAnsi="宋体" w:eastAsia="宋体"/>
          <w:sz w:val="24"/>
          <w:szCs w:val="24"/>
          <w:u w:val="none"/>
        </w:rPr>
        <w:t>教学建设专项经费，学校均按需、足额列入预算，</w:t>
      </w:r>
      <w:r>
        <w:rPr>
          <w:rFonts w:hint="eastAsia" w:ascii="宋体" w:hAnsi="宋体" w:eastAsia="宋体"/>
          <w:spacing w:val="0"/>
          <w:sz w:val="24"/>
          <w:szCs w:val="24"/>
          <w:u w:val="none"/>
        </w:rPr>
        <w:t>优先保证教学经费足额投入。</w:t>
      </w:r>
      <w:r>
        <w:rPr>
          <w:rFonts w:hint="eastAsia" w:ascii="宋体" w:hAnsi="宋体" w:eastAsia="宋体"/>
          <w:spacing w:val="0"/>
          <w:sz w:val="24"/>
          <w:szCs w:val="24"/>
          <w:u w:val="none"/>
          <w:lang w:val="en-US" w:eastAsia="zh-CN"/>
        </w:rPr>
        <w:t>2017年，学校教学日常运行经费</w:t>
      </w:r>
      <w:r>
        <w:rPr>
          <w:rFonts w:hint="eastAsia" w:ascii="宋体" w:hAnsi="宋体" w:eastAsia="宋体"/>
          <w:sz w:val="24"/>
          <w:szCs w:val="24"/>
          <w:u w:val="none"/>
          <w:lang w:eastAsia="zh-CN"/>
        </w:rPr>
        <w:t>2393.66万元。</w:t>
      </w:r>
    </w:p>
    <w:p>
      <w:pPr>
        <w:pStyle w:val="3"/>
        <w:rPr>
          <w:rFonts w:hint="eastAsia" w:ascii="黑体" w:hAnsi="黑体" w:eastAsia="黑体"/>
          <w:sz w:val="28"/>
          <w:szCs w:val="28"/>
          <w:lang w:eastAsia="zh-CN"/>
        </w:rPr>
      </w:pPr>
      <w:bookmarkStart w:id="42" w:name="_Toc24132"/>
      <w:r>
        <w:rPr>
          <w:rFonts w:hint="eastAsia" w:ascii="黑体" w:hAnsi="黑体" w:eastAsia="黑体"/>
          <w:sz w:val="28"/>
          <w:szCs w:val="28"/>
        </w:rPr>
        <w:t>（二）</w:t>
      </w:r>
      <w:r>
        <w:rPr>
          <w:rFonts w:hint="eastAsia" w:ascii="黑体" w:hAnsi="黑体" w:eastAsia="黑体"/>
          <w:sz w:val="28"/>
          <w:szCs w:val="28"/>
          <w:lang w:eastAsia="zh-CN"/>
        </w:rPr>
        <w:t>建立健全教学质量保障体系</w:t>
      </w:r>
      <w:bookmarkEnd w:id="42"/>
    </w:p>
    <w:p>
      <w:pPr>
        <w:ind w:firstLine="480" w:firstLineChars="200"/>
        <w:jc w:val="left"/>
        <w:rPr>
          <w:rFonts w:hint="eastAsia" w:ascii="宋体" w:hAnsi="宋体" w:eastAsia="宋体"/>
          <w:sz w:val="24"/>
          <w:szCs w:val="24"/>
          <w:u w:val="none"/>
        </w:rPr>
      </w:pPr>
      <w:r>
        <w:rPr>
          <w:rFonts w:hint="eastAsia" w:ascii="宋体" w:hAnsi="宋体" w:eastAsia="宋体"/>
          <w:sz w:val="24"/>
          <w:szCs w:val="24"/>
          <w:u w:val="none"/>
        </w:rPr>
        <w:t>学校将“发展以质量为中心”上升到了学校的发展战略地位，不断强化教学质量管理，加强教学管理队伍建设，完善教学管理制度，建立基于国家数据平台以及教学质量常态监测、以院部评估为主线的校内自我评估制度</w:t>
      </w:r>
      <w:r>
        <w:rPr>
          <w:rFonts w:hint="eastAsia" w:ascii="宋体" w:hAnsi="宋体" w:eastAsia="宋体"/>
          <w:sz w:val="24"/>
          <w:szCs w:val="24"/>
          <w:u w:val="none"/>
          <w:lang w:eastAsia="zh-CN"/>
        </w:rPr>
        <w:t>，</w:t>
      </w:r>
      <w:r>
        <w:rPr>
          <w:rFonts w:hint="eastAsia" w:ascii="宋体" w:hAnsi="宋体" w:eastAsia="宋体"/>
          <w:sz w:val="24"/>
          <w:szCs w:val="24"/>
          <w:u w:val="none"/>
        </w:rPr>
        <w:t>构建并逐步完善基于人才培养全过程的以应用型为导向的教学质量保障与监控体系。</w:t>
      </w:r>
    </w:p>
    <w:p>
      <w:pPr>
        <w:ind w:firstLine="480" w:firstLineChars="200"/>
        <w:jc w:val="left"/>
        <w:rPr>
          <w:rFonts w:hint="eastAsia" w:ascii="宋体" w:hAnsi="宋体" w:eastAsia="宋体"/>
          <w:sz w:val="24"/>
          <w:szCs w:val="24"/>
          <w:u w:val="none"/>
        </w:rPr>
      </w:pPr>
      <w:r>
        <w:rPr>
          <w:rFonts w:hint="eastAsia" w:ascii="宋体" w:hAnsi="宋体" w:eastAsia="宋体"/>
          <w:sz w:val="24"/>
          <w:szCs w:val="24"/>
          <w:u w:val="none"/>
        </w:rPr>
        <w:t>1.质量监控组织完善</w:t>
      </w:r>
    </w:p>
    <w:p>
      <w:pPr>
        <w:ind w:firstLine="480" w:firstLineChars="200"/>
        <w:jc w:val="left"/>
        <w:rPr>
          <w:rFonts w:hint="eastAsia" w:ascii="宋体" w:hAnsi="宋体" w:eastAsia="宋体"/>
          <w:sz w:val="24"/>
          <w:szCs w:val="24"/>
          <w:u w:val="none"/>
        </w:rPr>
      </w:pPr>
      <w:r>
        <w:rPr>
          <w:rFonts w:hint="eastAsia" w:ascii="宋体" w:hAnsi="宋体" w:eastAsia="宋体"/>
          <w:sz w:val="24"/>
          <w:szCs w:val="24"/>
          <w:u w:val="none"/>
        </w:rPr>
        <w:t>校、院两级教学管理组织机构健全，建立了教学管理专家组织、行政组织、质量监测评估组织等三类教学管理组织，教学质量监测评估组织包括：质量评估办公室及督导组，承担的职能有：教学质量常态监测、各类评估、督察指导、信息分析反馈、提供决策咨询等，有效实现“管、办、评分离”。现有专职教学质量监控人员10人，具有高级职称的8人，所占比例为80.00%。</w:t>
      </w:r>
    </w:p>
    <w:p>
      <w:pPr>
        <w:ind w:firstLine="480" w:firstLineChars="200"/>
        <w:jc w:val="left"/>
        <w:rPr>
          <w:rFonts w:hint="eastAsia" w:ascii="宋体" w:hAnsi="宋体" w:eastAsia="宋体"/>
          <w:sz w:val="24"/>
          <w:szCs w:val="24"/>
          <w:u w:val="none"/>
        </w:rPr>
      </w:pPr>
      <w:r>
        <w:rPr>
          <w:rFonts w:hint="eastAsia" w:ascii="宋体" w:hAnsi="宋体" w:eastAsia="宋体"/>
          <w:sz w:val="24"/>
          <w:szCs w:val="24"/>
          <w:u w:val="none"/>
        </w:rPr>
        <w:t>2.初步构建以应用为导向的教学质量保障与监控体系</w:t>
      </w:r>
    </w:p>
    <w:p>
      <w:pPr>
        <w:ind w:firstLine="480" w:firstLineChars="200"/>
        <w:jc w:val="left"/>
        <w:rPr>
          <w:rFonts w:hint="eastAsia" w:asciiTheme="minorEastAsia" w:hAnsiTheme="minorEastAsia"/>
          <w:b w:val="0"/>
          <w:bCs w:val="0"/>
          <w:sz w:val="24"/>
          <w:szCs w:val="24"/>
        </w:rPr>
      </w:pPr>
      <w:r>
        <w:rPr>
          <w:rFonts w:hint="eastAsia" w:ascii="宋体" w:hAnsi="宋体" w:eastAsia="宋体"/>
          <w:sz w:val="24"/>
          <w:szCs w:val="24"/>
          <w:u w:val="none"/>
        </w:rPr>
        <w:t>以两个需求（国家、区域经济社会发展的发展需求和学生的发展需求）、两个满意（学生对学习效果满意，用人单位对学校培养人才的质量满意）为导向，以培养“五有”的高素质应用型人才为目标，以三全（全员参与、全程监控、全面评价）为基础，由管理组织、质量目标、质量标准、过程管理、条件保障、质量监测分析与改进等“六个子系统”建成了“二二五三六”模式的教学质量保障与监控体系并有序有效运行。</w:t>
      </w:r>
    </w:p>
    <w:p>
      <w:pPr>
        <w:spacing w:line="480" w:lineRule="exact"/>
        <w:ind w:firstLine="420" w:firstLineChars="200"/>
        <w:jc w:val="center"/>
        <w:rPr>
          <w:rFonts w:hint="eastAsia" w:asciiTheme="minorEastAsia" w:hAnsiTheme="minorEastAsia"/>
          <w:b/>
          <w:bCs/>
          <w:sz w:val="28"/>
          <w:szCs w:val="28"/>
        </w:rPr>
      </w:pPr>
      <w:r>
        <w:drawing>
          <wp:anchor distT="0" distB="0" distL="114300" distR="114300" simplePos="0" relativeHeight="251658240" behindDoc="0" locked="0" layoutInCell="1" allowOverlap="1">
            <wp:simplePos x="0" y="0"/>
            <wp:positionH relativeFrom="column">
              <wp:posOffset>-114300</wp:posOffset>
            </wp:positionH>
            <wp:positionV relativeFrom="paragraph">
              <wp:posOffset>98425</wp:posOffset>
            </wp:positionV>
            <wp:extent cx="6123305" cy="3047365"/>
            <wp:effectExtent l="0" t="0" r="10795" b="63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6123305" cy="3047365"/>
                    </a:xfrm>
                    <a:prstGeom prst="rect">
                      <a:avLst/>
                    </a:prstGeom>
                    <a:noFill/>
                    <a:ln w="9525">
                      <a:noFill/>
                    </a:ln>
                  </pic:spPr>
                </pic:pic>
              </a:graphicData>
            </a:graphic>
          </wp:anchor>
        </w:drawing>
      </w:r>
      <w:r>
        <w:rPr>
          <w:rFonts w:hint="eastAsia" w:asciiTheme="minorEastAsia" w:hAnsiTheme="minorEastAsia"/>
          <w:b/>
          <w:bCs/>
          <w:sz w:val="24"/>
          <w:szCs w:val="24"/>
        </w:rPr>
        <w:t>图</w:t>
      </w:r>
      <w:r>
        <w:rPr>
          <w:rFonts w:hint="eastAsia" w:asciiTheme="minorEastAsia" w:hAnsiTheme="minorEastAsia"/>
          <w:b/>
          <w:bCs/>
          <w:sz w:val="24"/>
          <w:szCs w:val="24"/>
          <w:lang w:val="en-US" w:eastAsia="zh-CN"/>
        </w:rPr>
        <w:t xml:space="preserve">4 </w:t>
      </w:r>
      <w:r>
        <w:rPr>
          <w:rFonts w:hint="eastAsia" w:asciiTheme="minorEastAsia" w:hAnsiTheme="minorEastAsia"/>
          <w:b/>
          <w:bCs/>
          <w:sz w:val="24"/>
          <w:szCs w:val="24"/>
        </w:rPr>
        <w:t xml:space="preserve"> 南宁学院“二二五三六”模式的教学质量保障与监控体系构架图</w:t>
      </w:r>
    </w:p>
    <w:p>
      <w:pPr>
        <w:pStyle w:val="4"/>
        <w:spacing w:before="0" w:after="0" w:line="240" w:lineRule="auto"/>
        <w:ind w:firstLine="480" w:firstLineChars="200"/>
        <w:rPr>
          <w:rFonts w:hint="eastAsia" w:ascii="宋体" w:hAnsi="宋体" w:eastAsia="宋体" w:cstheme="minorBidi"/>
          <w:b w:val="0"/>
          <w:bCs w:val="0"/>
          <w:kern w:val="2"/>
          <w:sz w:val="24"/>
          <w:szCs w:val="24"/>
          <w:u w:val="none"/>
          <w:lang w:val="en-US" w:eastAsia="zh-CN" w:bidi="ar-SA"/>
        </w:rPr>
      </w:pPr>
    </w:p>
    <w:p>
      <w:pPr>
        <w:pStyle w:val="4"/>
        <w:spacing w:before="0" w:after="0" w:line="240" w:lineRule="auto"/>
        <w:ind w:firstLine="480" w:firstLineChars="200"/>
        <w:rPr>
          <w:rFonts w:hint="eastAsia" w:ascii="宋体" w:hAnsi="宋体" w:eastAsia="宋体" w:cstheme="minorBidi"/>
          <w:b w:val="0"/>
          <w:bCs w:val="0"/>
          <w:kern w:val="2"/>
          <w:sz w:val="24"/>
          <w:szCs w:val="24"/>
          <w:u w:val="none"/>
          <w:lang w:val="en-US" w:eastAsia="zh-CN" w:bidi="ar-SA"/>
        </w:rPr>
      </w:pPr>
      <w:bookmarkStart w:id="43" w:name="_Toc8849"/>
      <w:bookmarkStart w:id="44" w:name="_Toc12675"/>
      <w:r>
        <w:rPr>
          <w:rFonts w:hint="eastAsia" w:ascii="宋体" w:hAnsi="宋体" w:eastAsia="宋体" w:cstheme="minorBidi"/>
          <w:b w:val="0"/>
          <w:bCs w:val="0"/>
          <w:kern w:val="2"/>
          <w:sz w:val="24"/>
          <w:szCs w:val="24"/>
          <w:u w:val="none"/>
          <w:lang w:val="en-US" w:eastAsia="zh-CN" w:bidi="ar-SA"/>
        </w:rPr>
        <w:t>3.全面开展质量常态监测</w:t>
      </w:r>
      <w:bookmarkEnd w:id="43"/>
      <w:bookmarkEnd w:id="44"/>
    </w:p>
    <w:p>
      <w:pPr>
        <w:spacing w:line="240" w:lineRule="auto"/>
        <w:ind w:firstLine="480" w:firstLineChars="200"/>
        <w:rPr>
          <w:rFonts w:hint="eastAsia" w:ascii="宋体" w:hAnsi="宋体" w:eastAsia="宋体" w:cstheme="minorBidi"/>
          <w:b w:val="0"/>
          <w:bCs w:val="0"/>
          <w:kern w:val="2"/>
          <w:sz w:val="24"/>
          <w:szCs w:val="24"/>
          <w:u w:val="none"/>
          <w:lang w:val="en-US" w:eastAsia="zh-CN" w:bidi="ar-SA"/>
        </w:rPr>
      </w:pPr>
      <w:r>
        <w:rPr>
          <w:rFonts w:hint="eastAsia" w:ascii="宋体" w:hAnsi="宋体" w:eastAsia="宋体" w:cstheme="minorBidi"/>
          <w:b w:val="0"/>
          <w:bCs w:val="0"/>
          <w:kern w:val="2"/>
          <w:sz w:val="24"/>
          <w:szCs w:val="24"/>
          <w:u w:val="none"/>
          <w:lang w:val="en-US" w:eastAsia="zh-CN" w:bidi="ar-SA"/>
        </w:rPr>
        <w:t>（1）明确质量标准与监测评价</w:t>
      </w:r>
      <w:r>
        <w:rPr>
          <w:rFonts w:hint="eastAsia" w:ascii="宋体" w:hAnsi="宋体" w:eastAsia="宋体" w:cstheme="minorBidi"/>
          <w:b w:val="0"/>
          <w:bCs w:val="0"/>
          <w:kern w:val="2"/>
          <w:sz w:val="24"/>
          <w:szCs w:val="24"/>
          <w:highlight w:val="yellow"/>
          <w:u w:val="none"/>
          <w:lang w:val="en-US" w:eastAsia="zh-CN" w:bidi="ar-SA"/>
        </w:rPr>
        <w:t>标准</w:t>
      </w:r>
    </w:p>
    <w:p>
      <w:pPr>
        <w:spacing w:line="240" w:lineRule="auto"/>
        <w:ind w:firstLine="480" w:firstLineChars="200"/>
        <w:rPr>
          <w:rFonts w:hint="eastAsia" w:ascii="宋体" w:hAnsi="宋体" w:eastAsia="宋体" w:cstheme="minorBidi"/>
          <w:b w:val="0"/>
          <w:bCs w:val="0"/>
          <w:kern w:val="2"/>
          <w:sz w:val="24"/>
          <w:szCs w:val="24"/>
          <w:u w:val="none"/>
          <w:lang w:val="en-US" w:eastAsia="zh-CN" w:bidi="ar-SA"/>
        </w:rPr>
      </w:pPr>
      <w:r>
        <w:rPr>
          <w:rFonts w:hint="eastAsia" w:ascii="宋体" w:hAnsi="宋体" w:eastAsia="宋体" w:cstheme="minorBidi"/>
          <w:b w:val="0"/>
          <w:bCs w:val="0"/>
          <w:kern w:val="2"/>
          <w:sz w:val="24"/>
          <w:szCs w:val="24"/>
          <w:u w:val="none"/>
          <w:lang w:val="en-US" w:eastAsia="zh-CN" w:bidi="ar-SA"/>
        </w:rPr>
        <w:t>建立了教学工作规范以及主要环节质量标准，并据此制定教学质量监测评价标准。</w:t>
      </w:r>
    </w:p>
    <w:p>
      <w:pPr>
        <w:shd w:val="clear" w:color="auto" w:fill="FFFFFF"/>
        <w:adjustRightInd w:val="0"/>
        <w:snapToGrid w:val="0"/>
        <w:spacing w:line="240" w:lineRule="auto"/>
        <w:ind w:firstLine="480" w:firstLineChars="200"/>
        <w:rPr>
          <w:rFonts w:hint="eastAsia" w:ascii="宋体" w:hAnsi="宋体" w:eastAsia="宋体" w:cstheme="minorBidi"/>
          <w:b w:val="0"/>
          <w:bCs w:val="0"/>
          <w:kern w:val="2"/>
          <w:sz w:val="24"/>
          <w:szCs w:val="24"/>
          <w:u w:val="none"/>
          <w:lang w:val="en-US" w:eastAsia="zh-CN" w:bidi="ar-SA"/>
        </w:rPr>
      </w:pPr>
      <w:r>
        <w:rPr>
          <w:rFonts w:hint="eastAsia" w:ascii="宋体" w:hAnsi="宋体" w:eastAsia="宋体" w:cstheme="minorBidi"/>
          <w:b w:val="0"/>
          <w:bCs w:val="0"/>
          <w:kern w:val="2"/>
          <w:sz w:val="24"/>
          <w:szCs w:val="24"/>
          <w:u w:val="none"/>
          <w:lang w:val="en-US" w:eastAsia="zh-CN" w:bidi="ar-SA"/>
        </w:rPr>
        <w:t>（2）实施基于人才培养全过程的“八维度”的教学质量监测</w:t>
      </w:r>
    </w:p>
    <w:p>
      <w:pPr>
        <w:shd w:val="clear" w:color="auto" w:fill="FFFFFF"/>
        <w:adjustRightInd w:val="0"/>
        <w:snapToGrid w:val="0"/>
        <w:spacing w:line="240" w:lineRule="auto"/>
        <w:ind w:firstLine="480" w:firstLineChars="200"/>
        <w:rPr>
          <w:rFonts w:hint="eastAsia" w:ascii="宋体" w:hAnsi="宋体" w:eastAsia="宋体" w:cstheme="minorBidi"/>
          <w:b w:val="0"/>
          <w:bCs w:val="0"/>
          <w:kern w:val="2"/>
          <w:sz w:val="24"/>
          <w:szCs w:val="24"/>
          <w:u w:val="none"/>
          <w:lang w:val="en-US" w:eastAsia="zh-CN" w:bidi="ar-SA"/>
        </w:rPr>
      </w:pPr>
      <w:r>
        <w:rPr>
          <w:rFonts w:hint="eastAsia" w:ascii="宋体" w:hAnsi="宋体" w:eastAsia="宋体" w:cstheme="minorBidi"/>
          <w:b w:val="0"/>
          <w:bCs w:val="0"/>
          <w:kern w:val="2"/>
          <w:sz w:val="24"/>
          <w:szCs w:val="24"/>
          <w:u w:val="none"/>
          <w:lang w:val="en-US" w:eastAsia="zh-CN" w:bidi="ar-SA"/>
        </w:rPr>
        <w:t>从培养方案，从方案制定、方案评价、方案执行三个环节对重要的教学环节进行严密监控。开展八维度监测，包括：教学检查、教学质量常态监测、新开课审核制度、评教制度、评学制度、学生学业预警、数据平台数据监测、公众监督等。对监测评估项目出具相应的分析诊断报告，对在教学工作方面出现的有可能影响教学质量的工作进行有效纠偏。充分利用《高等教育质量监测国家数据平台》提供的数据分析和辅助评估功能，开展常态监测、院部教学工作评估及专业评估。</w:t>
      </w:r>
    </w:p>
    <w:p>
      <w:pPr>
        <w:spacing w:line="240" w:lineRule="auto"/>
        <w:ind w:firstLine="480" w:firstLineChars="200"/>
        <w:rPr>
          <w:rFonts w:hint="eastAsia" w:ascii="宋体" w:hAnsi="宋体" w:eastAsia="宋体" w:cstheme="minorBidi"/>
          <w:b w:val="0"/>
          <w:bCs w:val="0"/>
          <w:kern w:val="2"/>
          <w:sz w:val="24"/>
          <w:szCs w:val="24"/>
          <w:u w:val="none"/>
          <w:lang w:val="en-US" w:eastAsia="zh-CN" w:bidi="ar-SA"/>
        </w:rPr>
      </w:pPr>
      <w:r>
        <w:rPr>
          <w:rFonts w:hint="eastAsia" w:ascii="宋体" w:hAnsi="宋体" w:eastAsia="宋体" w:cstheme="minorBidi"/>
          <w:b w:val="0"/>
          <w:bCs w:val="0"/>
          <w:kern w:val="2"/>
          <w:sz w:val="24"/>
          <w:szCs w:val="24"/>
          <w:u w:val="none"/>
          <w:lang w:val="en-US" w:eastAsia="zh-CN" w:bidi="ar-SA"/>
        </w:rPr>
        <w:t>2017-2018学年，学生评教覆盖面为100%，其中评价结果为良好以上的占98.85%。同行、督导评教覆盖面为44.05%，其中评价结果为良好以上的占90.33%。领导评教覆盖面为31.92%，其中评价结果为良好及以上的占89.21%。如下图所示。</w:t>
      </w:r>
    </w:p>
    <w:p>
      <w:pPr>
        <w:jc w:val="center"/>
      </w:pPr>
      <w:r>
        <w:drawing>
          <wp:inline distT="0" distB="0" distL="0" distR="0">
            <wp:extent cx="4818380" cy="2886075"/>
            <wp:effectExtent l="0" t="0" r="1270" b="9525"/>
            <wp:docPr id="9"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logo100.png"/>
                    <pic:cNvPicPr>
                      <a:picLocks noChangeAspect="1"/>
                    </pic:cNvPicPr>
                  </pic:nvPicPr>
                  <pic:blipFill>
                    <a:blip r:embed="rId15" cstate="print"/>
                    <a:stretch>
                      <a:fillRect/>
                    </a:stretch>
                  </pic:blipFill>
                  <pic:spPr>
                    <a:xfrm>
                      <a:off x="0" y="0"/>
                      <a:ext cx="4818380" cy="2886075"/>
                    </a:xfrm>
                    <a:prstGeom prst="rect">
                      <a:avLst/>
                    </a:prstGeom>
                  </pic:spPr>
                </pic:pic>
              </a:graphicData>
            </a:graphic>
          </wp:inline>
        </w:drawing>
      </w:r>
    </w:p>
    <w:p>
      <w:pPr>
        <w:jc w:val="center"/>
        <w:rPr>
          <w:b/>
          <w:bCs/>
        </w:rPr>
      </w:pPr>
      <w:r>
        <w:rPr>
          <w:rFonts w:hint="eastAsia" w:ascii="宋体" w:hAnsi="宋体" w:eastAsia="宋体"/>
          <w:sz w:val="24"/>
          <w:szCs w:val="24"/>
        </w:rPr>
        <w:tab/>
      </w:r>
      <w:r>
        <w:rPr>
          <w:rFonts w:hint="eastAsia" w:ascii="宋体" w:hAnsi="宋体" w:eastAsia="宋体"/>
          <w:b/>
          <w:bCs/>
          <w:sz w:val="24"/>
          <w:szCs w:val="24"/>
        </w:rPr>
        <w:t>图</w:t>
      </w:r>
      <w:r>
        <w:rPr>
          <w:rFonts w:hint="eastAsia" w:ascii="宋体" w:hAnsi="宋体" w:eastAsia="宋体"/>
          <w:b/>
          <w:bCs/>
          <w:sz w:val="24"/>
          <w:szCs w:val="24"/>
          <w:lang w:val="en-US" w:eastAsia="zh-CN"/>
        </w:rPr>
        <w:t>5  207-2018</w:t>
      </w:r>
      <w:r>
        <w:rPr>
          <w:rFonts w:hint="eastAsia" w:ascii="宋体" w:hAnsi="宋体" w:eastAsia="宋体"/>
          <w:b/>
          <w:bCs/>
          <w:sz w:val="24"/>
          <w:szCs w:val="24"/>
        </w:rPr>
        <w:t>学年评教情况</w:t>
      </w:r>
    </w:p>
    <w:p>
      <w:pPr>
        <w:shd w:val="clear" w:color="auto" w:fill="FFFFFF"/>
        <w:adjustRightInd w:val="0"/>
        <w:snapToGrid w:val="0"/>
        <w:spacing w:line="560" w:lineRule="exact"/>
        <w:ind w:firstLine="560" w:firstLineChars="200"/>
        <w:rPr>
          <w:rFonts w:asciiTheme="minorEastAsia" w:hAnsiTheme="minorEastAsia"/>
          <w:sz w:val="28"/>
          <w:szCs w:val="28"/>
        </w:rPr>
      </w:pPr>
    </w:p>
    <w:p>
      <w:pPr>
        <w:pStyle w:val="4"/>
        <w:spacing w:before="0" w:after="0" w:line="240" w:lineRule="auto"/>
        <w:ind w:firstLine="480" w:firstLineChars="200"/>
        <w:rPr>
          <w:rFonts w:hint="eastAsia" w:ascii="宋体" w:hAnsi="宋体" w:eastAsia="宋体" w:cstheme="minorBidi"/>
          <w:b w:val="0"/>
          <w:bCs w:val="0"/>
          <w:kern w:val="2"/>
          <w:sz w:val="24"/>
          <w:szCs w:val="24"/>
          <w:u w:val="none"/>
          <w:lang w:val="en-US" w:eastAsia="zh-CN" w:bidi="ar-SA"/>
        </w:rPr>
      </w:pPr>
      <w:bookmarkStart w:id="45" w:name="_Toc15707"/>
      <w:bookmarkStart w:id="46" w:name="_Toc21249"/>
      <w:bookmarkStart w:id="47" w:name="_Toc13368"/>
      <w:r>
        <w:rPr>
          <w:rFonts w:hint="eastAsia" w:ascii="宋体" w:hAnsi="宋体" w:eastAsia="宋体" w:cstheme="minorBidi"/>
          <w:b w:val="0"/>
          <w:bCs w:val="0"/>
          <w:kern w:val="2"/>
          <w:sz w:val="24"/>
          <w:szCs w:val="24"/>
          <w:u w:val="none"/>
          <w:lang w:val="en-US" w:eastAsia="zh-CN" w:bidi="ar-SA"/>
        </w:rPr>
        <w:t>（3）开展校内自我评估</w:t>
      </w:r>
      <w:bookmarkEnd w:id="45"/>
      <w:bookmarkEnd w:id="46"/>
      <w:bookmarkEnd w:id="47"/>
    </w:p>
    <w:p>
      <w:pPr>
        <w:pStyle w:val="4"/>
        <w:spacing w:before="0" w:after="0" w:line="240" w:lineRule="auto"/>
        <w:ind w:firstLine="480" w:firstLineChars="200"/>
        <w:rPr>
          <w:rFonts w:hint="eastAsia" w:ascii="宋体" w:hAnsi="宋体" w:eastAsia="宋体" w:cstheme="minorBidi"/>
          <w:b w:val="0"/>
          <w:bCs w:val="0"/>
          <w:kern w:val="2"/>
          <w:sz w:val="24"/>
          <w:szCs w:val="24"/>
          <w:u w:val="none"/>
          <w:lang w:val="en-US" w:eastAsia="zh-CN" w:bidi="ar-SA"/>
        </w:rPr>
      </w:pPr>
      <w:bookmarkStart w:id="48" w:name="_Toc11238"/>
      <w:bookmarkStart w:id="49" w:name="_Toc14618"/>
      <w:bookmarkStart w:id="50" w:name="_Toc10140"/>
      <w:r>
        <w:rPr>
          <w:rFonts w:hint="eastAsia" w:ascii="宋体" w:hAnsi="宋体" w:eastAsia="宋体" w:cstheme="minorBidi"/>
          <w:b w:val="0"/>
          <w:bCs w:val="0"/>
          <w:kern w:val="2"/>
          <w:sz w:val="24"/>
          <w:szCs w:val="24"/>
          <w:u w:val="none"/>
          <w:lang w:val="en-US" w:eastAsia="zh-CN" w:bidi="ar-SA"/>
        </w:rPr>
        <w:t>开展四类教学工作评估。一是院部教学工作评估，通过探索，形成了一套基于教学质量监测、国家数据平台监测的院部教学工作评估指标体系，并开展评估，把评估结果纳入绩效考核及评先范畴。二是专业评估，每年对新增专业开展新增学士学位评审、以及新专业评估校内自评与自治区教育厅评估。立足长远，2018级开始启动基于国家质量标准以及专业认证理念下的专业建设、人才培养方案制定。三是课程评估，目前对开设的理论课、实验课、体育课等不同的课程采用不同的评估问卷进行分类评估。四是教研室评估。</w:t>
      </w:r>
      <w:bookmarkEnd w:id="48"/>
      <w:bookmarkEnd w:id="49"/>
      <w:bookmarkEnd w:id="50"/>
    </w:p>
    <w:p>
      <w:pPr>
        <w:pStyle w:val="4"/>
        <w:spacing w:before="0" w:after="0" w:line="240" w:lineRule="auto"/>
        <w:ind w:firstLine="480" w:firstLineChars="200"/>
        <w:rPr>
          <w:rFonts w:hint="eastAsia" w:ascii="宋体" w:hAnsi="宋体" w:eastAsia="宋体" w:cstheme="minorBidi"/>
          <w:b w:val="0"/>
          <w:bCs w:val="0"/>
          <w:kern w:val="2"/>
          <w:sz w:val="24"/>
          <w:szCs w:val="24"/>
          <w:u w:val="none"/>
          <w:lang w:val="en-US" w:eastAsia="zh-CN" w:bidi="ar-SA"/>
        </w:rPr>
      </w:pPr>
      <w:bookmarkStart w:id="51" w:name="_Toc9199"/>
      <w:bookmarkStart w:id="52" w:name="_Toc31263"/>
      <w:bookmarkStart w:id="53" w:name="_Toc24902"/>
      <w:r>
        <w:rPr>
          <w:rFonts w:hint="eastAsia" w:ascii="宋体" w:hAnsi="宋体" w:eastAsia="宋体" w:cstheme="minorBidi"/>
          <w:b w:val="0"/>
          <w:bCs w:val="0"/>
          <w:kern w:val="2"/>
          <w:sz w:val="24"/>
          <w:szCs w:val="24"/>
          <w:u w:val="none"/>
          <w:lang w:val="en-US" w:eastAsia="zh-CN" w:bidi="ar-SA"/>
        </w:rPr>
        <w:t>（4）建立教学质量分析反馈与持续改进工作机制</w:t>
      </w:r>
      <w:bookmarkEnd w:id="51"/>
      <w:bookmarkEnd w:id="52"/>
      <w:bookmarkEnd w:id="53"/>
    </w:p>
    <w:p>
      <w:pPr>
        <w:pStyle w:val="4"/>
        <w:spacing w:before="0" w:after="0" w:line="240" w:lineRule="auto"/>
        <w:ind w:firstLine="480" w:firstLineChars="200"/>
        <w:rPr>
          <w:rFonts w:hint="eastAsia" w:ascii="宋体" w:hAnsi="宋体" w:eastAsia="宋体" w:cstheme="minorBidi"/>
          <w:b w:val="0"/>
          <w:bCs w:val="0"/>
          <w:kern w:val="2"/>
          <w:sz w:val="24"/>
          <w:szCs w:val="24"/>
          <w:u w:val="none"/>
          <w:lang w:val="en-US" w:eastAsia="zh-CN" w:bidi="ar-SA"/>
        </w:rPr>
      </w:pPr>
      <w:bookmarkStart w:id="54" w:name="_Toc22634"/>
      <w:bookmarkStart w:id="55" w:name="_Toc21372"/>
      <w:bookmarkStart w:id="56" w:name="_Toc31970"/>
      <w:r>
        <w:rPr>
          <w:rFonts w:hint="eastAsia" w:ascii="宋体" w:hAnsi="宋体" w:eastAsia="宋体" w:cstheme="minorBidi"/>
          <w:b w:val="0"/>
          <w:bCs w:val="0"/>
          <w:kern w:val="2"/>
          <w:sz w:val="24"/>
          <w:szCs w:val="24"/>
          <w:u w:val="none"/>
          <w:lang w:val="en-US" w:eastAsia="zh-CN" w:bidi="ar-SA"/>
        </w:rPr>
        <w:t>注重教学质量分析。建立了由教学督导专家、校领导、学生信息员、教学管理人员、专任教师全员参与的质量监控队伍以及监测质量分析报告制度，将评价过程中收集的教学工作材料和状态数据，进行统计、比较和分析，形成质量分析报告，通过学校OA、《教学质量简报》等平台公开发布。</w:t>
      </w:r>
      <w:bookmarkEnd w:id="54"/>
      <w:bookmarkEnd w:id="55"/>
      <w:bookmarkEnd w:id="56"/>
    </w:p>
    <w:p>
      <w:pPr>
        <w:pStyle w:val="4"/>
        <w:spacing w:before="0" w:after="0" w:line="240" w:lineRule="auto"/>
        <w:ind w:firstLine="480" w:firstLineChars="200"/>
        <w:rPr>
          <w:rFonts w:hint="eastAsia" w:ascii="宋体" w:hAnsi="宋体" w:eastAsia="宋体" w:cstheme="minorBidi"/>
          <w:b w:val="0"/>
          <w:bCs w:val="0"/>
          <w:kern w:val="2"/>
          <w:sz w:val="24"/>
          <w:szCs w:val="24"/>
          <w:u w:val="none"/>
          <w:lang w:val="en-US" w:eastAsia="zh-CN" w:bidi="ar-SA"/>
        </w:rPr>
      </w:pPr>
      <w:bookmarkStart w:id="57" w:name="_Toc4051"/>
      <w:bookmarkStart w:id="58" w:name="_Toc26343"/>
      <w:bookmarkStart w:id="59" w:name="_Toc19119"/>
      <w:r>
        <w:rPr>
          <w:rFonts w:hint="eastAsia" w:ascii="宋体" w:hAnsi="宋体" w:eastAsia="宋体" w:cstheme="minorBidi"/>
          <w:b w:val="0"/>
          <w:bCs w:val="0"/>
          <w:kern w:val="2"/>
          <w:sz w:val="24"/>
          <w:szCs w:val="24"/>
          <w:u w:val="none"/>
          <w:lang w:val="en-US" w:eastAsia="zh-CN" w:bidi="ar-SA"/>
        </w:rPr>
        <w:t>及时开展教学质量反馈。将教学检查、教学质量常态监测、数据平台、学生</w:t>
      </w:r>
      <w:r>
        <w:rPr>
          <w:rFonts w:hint="eastAsia" w:ascii="宋体" w:hAnsi="宋体" w:eastAsia="宋体" w:cstheme="minorBidi"/>
          <w:b w:val="0"/>
          <w:bCs w:val="0"/>
          <w:kern w:val="2"/>
          <w:sz w:val="24"/>
          <w:szCs w:val="24"/>
          <w:highlight w:val="none"/>
          <w:u w:val="none"/>
          <w:lang w:val="en-US" w:eastAsia="zh-CN" w:bidi="ar-SA"/>
        </w:rPr>
        <w:t>信息员</w:t>
      </w:r>
      <w:r>
        <w:rPr>
          <w:rFonts w:hint="eastAsia" w:ascii="宋体" w:hAnsi="宋体" w:eastAsia="宋体" w:cstheme="minorBidi"/>
          <w:b w:val="0"/>
          <w:bCs w:val="0"/>
          <w:kern w:val="2"/>
          <w:sz w:val="24"/>
          <w:szCs w:val="24"/>
          <w:u w:val="none"/>
          <w:lang w:val="en-US" w:eastAsia="zh-CN" w:bidi="ar-SA"/>
        </w:rPr>
        <w:t>等反馈的信息以专场会议、公开发布分析诊断报告、《教学简报》或《教学质量信息反馈与改进单》等形式反馈给相关部门，部门调查分析和改进落实后，学校根据其改进情况进行检查跟踪。</w:t>
      </w:r>
      <w:bookmarkEnd w:id="57"/>
      <w:bookmarkEnd w:id="58"/>
      <w:bookmarkEnd w:id="59"/>
    </w:p>
    <w:p>
      <w:pPr>
        <w:pStyle w:val="4"/>
        <w:spacing w:before="0" w:after="0" w:line="240" w:lineRule="auto"/>
        <w:ind w:firstLine="480" w:firstLineChars="200"/>
      </w:pPr>
      <w:bookmarkStart w:id="60" w:name="_Toc29351"/>
      <w:bookmarkStart w:id="61" w:name="_Toc26745"/>
      <w:bookmarkStart w:id="62" w:name="_Toc20486"/>
      <w:r>
        <w:rPr>
          <w:rFonts w:hint="eastAsia" w:ascii="宋体" w:hAnsi="宋体" w:eastAsia="宋体" w:cstheme="minorBidi"/>
          <w:b w:val="0"/>
          <w:bCs w:val="0"/>
          <w:kern w:val="2"/>
          <w:sz w:val="24"/>
          <w:szCs w:val="24"/>
          <w:u w:val="none"/>
          <w:lang w:val="en-US" w:eastAsia="zh-CN" w:bidi="ar-SA"/>
        </w:rPr>
        <w:t>建立起基于教学评价与激励机制的教学质量改进机制。主要采用以下三项激励制度：一是公布各种教学质量监测报告；二是实行院部及教师个人教学质量监测满意度排名制度；三是实施激励奖惩制度，对评价结果纳入年终绩效考核、院部、个人评优评先范围。</w:t>
      </w:r>
      <w:bookmarkEnd w:id="60"/>
      <w:bookmarkEnd w:id="61"/>
      <w:bookmarkEnd w:id="62"/>
    </w:p>
    <w:p>
      <w:pPr>
        <w:jc w:val="left"/>
      </w:pPr>
      <w:r>
        <w:br w:type="page"/>
      </w:r>
    </w:p>
    <w:p>
      <w:pPr>
        <w:pStyle w:val="2"/>
        <w:jc w:val="left"/>
        <w:rPr>
          <w:rFonts w:hint="eastAsia" w:ascii="黑体" w:hAnsi="黑体" w:eastAsia="黑体"/>
          <w:sz w:val="28"/>
          <w:szCs w:val="28"/>
          <w:lang w:val="en-US" w:eastAsia="zh-CN"/>
        </w:rPr>
      </w:pPr>
      <w:bookmarkStart w:id="63" w:name="_Toc18876"/>
      <w:r>
        <w:rPr>
          <w:rFonts w:hint="eastAsia" w:ascii="黑体" w:hAnsi="黑体" w:eastAsia="黑体"/>
          <w:sz w:val="28"/>
          <w:szCs w:val="28"/>
          <w:lang w:val="en-US" w:eastAsia="zh-CN"/>
        </w:rPr>
        <w:t>六、学生学习效果</w:t>
      </w:r>
      <w:bookmarkEnd w:id="63"/>
    </w:p>
    <w:p>
      <w:pPr>
        <w:snapToGrid w:val="0"/>
        <w:spacing w:line="360" w:lineRule="auto"/>
        <w:rPr>
          <w:rFonts w:hint="eastAsia" w:ascii="黑体" w:hAnsi="黑体" w:eastAsia="黑体" w:cstheme="majorBidi"/>
          <w:b/>
          <w:bCs/>
          <w:kern w:val="2"/>
          <w:sz w:val="28"/>
          <w:szCs w:val="28"/>
          <w:lang w:val="en-US" w:eastAsia="zh-CN" w:bidi="ar-SA"/>
        </w:rPr>
      </w:pPr>
      <w:r>
        <w:rPr>
          <w:rFonts w:hint="eastAsia" w:ascii="黑体" w:hAnsi="黑体" w:eastAsia="黑体" w:cstheme="majorBidi"/>
          <w:b/>
          <w:bCs/>
          <w:kern w:val="2"/>
          <w:sz w:val="28"/>
          <w:szCs w:val="28"/>
          <w:lang w:val="en-US" w:eastAsia="zh-CN" w:bidi="ar-SA"/>
        </w:rPr>
        <w:t>（一）学生学习满意度</w:t>
      </w:r>
    </w:p>
    <w:p>
      <w:pPr>
        <w:ind w:firstLine="480" w:firstLineChars="200"/>
        <w:rPr>
          <w:rFonts w:asciiTheme="minorEastAsia" w:hAnsiTheme="minorEastAsia"/>
          <w:sz w:val="24"/>
          <w:szCs w:val="24"/>
        </w:rPr>
      </w:pPr>
      <w:r>
        <w:rPr>
          <w:rFonts w:hint="eastAsia" w:asciiTheme="minorEastAsia" w:hAnsiTheme="minorEastAsia"/>
          <w:sz w:val="24"/>
          <w:szCs w:val="24"/>
        </w:rPr>
        <w:t>随着学校“创造卓越教育品质”战略目标深入人心，通过实施“三大战略”（铸魂、立根、固本战略），学校办学条件逐步加强，教学管理逐步规范，应用型教育品质不断提高，学生获得感不断增强。2017-2018学年，学生对任课教师课堂教学效果评价结果为良好以上的占98.85%。此外，学校开展了在校生对教育工作满意度</w:t>
      </w:r>
      <w:r>
        <w:rPr>
          <w:rFonts w:hint="eastAsia" w:asciiTheme="minorEastAsia" w:hAnsiTheme="minorEastAsia"/>
          <w:sz w:val="24"/>
          <w:szCs w:val="24"/>
          <w:highlight w:val="none"/>
        </w:rPr>
        <w:t>调查</w:t>
      </w:r>
      <w:r>
        <w:rPr>
          <w:rFonts w:hint="eastAsia" w:asciiTheme="minorEastAsia" w:hAnsiTheme="minorEastAsia"/>
          <w:sz w:val="24"/>
          <w:szCs w:val="24"/>
        </w:rPr>
        <w:t>，结果显示，学生对学校教学工作的总体满意度为84%，</w:t>
      </w:r>
      <w:r>
        <w:rPr>
          <w:rFonts w:asciiTheme="minorEastAsia" w:hAnsiTheme="minorEastAsia"/>
          <w:b w:val="0"/>
          <w:bCs w:val="0"/>
          <w:sz w:val="24"/>
          <w:szCs w:val="24"/>
        </w:rPr>
        <w:t>对学生服务与指导工作方面满意度</w:t>
      </w:r>
      <w:r>
        <w:rPr>
          <w:rFonts w:hint="eastAsia" w:asciiTheme="minorEastAsia" w:hAnsiTheme="minorEastAsia"/>
          <w:b w:val="0"/>
          <w:bCs w:val="0"/>
          <w:sz w:val="24"/>
          <w:szCs w:val="24"/>
        </w:rPr>
        <w:t>为</w:t>
      </w:r>
      <w:r>
        <w:rPr>
          <w:rFonts w:asciiTheme="minorEastAsia" w:hAnsiTheme="minorEastAsia"/>
          <w:b w:val="0"/>
          <w:bCs w:val="0"/>
          <w:sz w:val="24"/>
          <w:szCs w:val="24"/>
        </w:rPr>
        <w:t>86%</w:t>
      </w:r>
      <w:r>
        <w:rPr>
          <w:rFonts w:hint="eastAsia" w:asciiTheme="minorEastAsia" w:hAnsiTheme="minorEastAsia"/>
          <w:b w:val="0"/>
          <w:bCs w:val="0"/>
          <w:sz w:val="24"/>
          <w:szCs w:val="24"/>
        </w:rPr>
        <w:t>，</w:t>
      </w:r>
      <w:r>
        <w:rPr>
          <w:rFonts w:asciiTheme="minorEastAsia" w:hAnsiTheme="minorEastAsia"/>
          <w:b w:val="0"/>
          <w:bCs w:val="0"/>
          <w:sz w:val="24"/>
          <w:szCs w:val="24"/>
        </w:rPr>
        <w:t>对学校基本设施及校园环境方面满意</w:t>
      </w:r>
      <w:r>
        <w:rPr>
          <w:rFonts w:hint="eastAsia" w:asciiTheme="minorEastAsia" w:hAnsiTheme="minorEastAsia"/>
          <w:b w:val="0"/>
          <w:bCs w:val="0"/>
          <w:sz w:val="24"/>
          <w:szCs w:val="24"/>
        </w:rPr>
        <w:t>为</w:t>
      </w:r>
      <w:r>
        <w:rPr>
          <w:rFonts w:asciiTheme="minorEastAsia" w:hAnsiTheme="minorEastAsia"/>
          <w:b w:val="0"/>
          <w:bCs w:val="0"/>
          <w:sz w:val="24"/>
          <w:szCs w:val="24"/>
        </w:rPr>
        <w:t>85%</w:t>
      </w:r>
      <w:r>
        <w:rPr>
          <w:rFonts w:hint="eastAsia" w:asciiTheme="minorEastAsia" w:hAnsiTheme="minorEastAsia"/>
          <w:b w:val="0"/>
          <w:bCs w:val="0"/>
          <w:sz w:val="24"/>
          <w:szCs w:val="24"/>
          <w:lang w:eastAsia="zh-CN"/>
        </w:rPr>
        <w:t>，综合评价平均满意度</w:t>
      </w:r>
      <w:r>
        <w:rPr>
          <w:rFonts w:hint="eastAsia" w:asciiTheme="minorEastAsia" w:hAnsiTheme="minorEastAsia"/>
          <w:b w:val="0"/>
          <w:bCs w:val="0"/>
          <w:sz w:val="24"/>
          <w:szCs w:val="24"/>
          <w:lang w:val="en-US" w:eastAsia="zh-CN"/>
        </w:rPr>
        <w:t>85%</w:t>
      </w:r>
      <w:r>
        <w:rPr>
          <w:rFonts w:hint="eastAsia" w:asciiTheme="minorEastAsia" w:hAnsiTheme="minorEastAsia"/>
          <w:b w:val="0"/>
          <w:bCs w:val="0"/>
          <w:sz w:val="24"/>
          <w:szCs w:val="24"/>
        </w:rPr>
        <w:t>。</w:t>
      </w:r>
      <w:r>
        <w:rPr>
          <w:rFonts w:hint="eastAsia" w:asciiTheme="minorEastAsia" w:hAnsiTheme="minorEastAsia"/>
          <w:sz w:val="24"/>
          <w:szCs w:val="24"/>
        </w:rPr>
        <w:t>对大多数任课教师认真负责的教学态度、良好的课堂教学效果等感到满意。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sz w:val="24"/>
          <w:szCs w:val="24"/>
        </w:rPr>
      </w:pPr>
    </w:p>
    <w:p>
      <w:pPr>
        <w:widowControl/>
        <w:jc w:val="center"/>
        <w:rPr>
          <w:rFonts w:hint="eastAsia" w:ascii="宋体" w:hAnsi="宋体" w:cs="宋体"/>
          <w:kern w:val="0"/>
          <w:sz w:val="24"/>
          <w:szCs w:val="24"/>
        </w:rPr>
      </w:pPr>
      <w:r>
        <w:rPr>
          <w:rFonts w:ascii="宋体" w:hAnsi="宋体" w:cs="宋体"/>
          <w:kern w:val="0"/>
          <w:sz w:val="24"/>
          <w:szCs w:val="24"/>
        </w:rPr>
        <w:drawing>
          <wp:inline distT="0" distB="0" distL="0" distR="0">
            <wp:extent cx="5067300" cy="2943225"/>
            <wp:effectExtent l="0" t="0" r="0" b="9525"/>
            <wp:docPr id="13" name="图片 13" descr="C:\Users\Administrator\AppData\Roaming\Tencent\Users\306117641\QQ\WinTemp\RichOle\ZG7I@YFP~ZCC)Z]TS_5T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Tencent\Users\306117641\QQ\WinTemp\RichOle\ZG7I@YFP~ZCC)Z]TS_5TV@U.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67300" cy="2943225"/>
                    </a:xfrm>
                    <a:prstGeom prst="rect">
                      <a:avLst/>
                    </a:prstGeom>
                    <a:noFill/>
                    <a:ln>
                      <a:noFill/>
                    </a:ln>
                  </pic:spPr>
                </pic:pic>
              </a:graphicData>
            </a:graphic>
          </wp:inline>
        </w:drawing>
      </w:r>
    </w:p>
    <w:p>
      <w:pPr>
        <w:jc w:val="center"/>
        <w:rPr>
          <w:rFonts w:hint="eastAsia" w:ascii="宋体" w:hAnsi="宋体"/>
          <w:b/>
          <w:bCs/>
          <w:sz w:val="24"/>
          <w:szCs w:val="24"/>
        </w:rPr>
      </w:pPr>
      <w:r>
        <w:rPr>
          <w:rFonts w:hint="eastAsia" w:ascii="宋体" w:hAnsi="宋体"/>
          <w:b/>
          <w:bCs/>
          <w:sz w:val="24"/>
          <w:szCs w:val="24"/>
        </w:rPr>
        <w:t>图</w:t>
      </w:r>
      <w:r>
        <w:rPr>
          <w:rFonts w:hint="eastAsia" w:ascii="宋体" w:hAnsi="宋体"/>
          <w:b/>
          <w:bCs/>
          <w:sz w:val="24"/>
          <w:szCs w:val="24"/>
          <w:lang w:val="en-US" w:eastAsia="zh-CN"/>
        </w:rPr>
        <w:t>6</w:t>
      </w:r>
      <w:r>
        <w:rPr>
          <w:rFonts w:hint="eastAsia" w:ascii="宋体" w:hAnsi="宋体"/>
          <w:b/>
          <w:bCs/>
          <w:sz w:val="24"/>
          <w:szCs w:val="24"/>
        </w:rPr>
        <w:t xml:space="preserve"> 学生对教学工作满意度调查情况</w:t>
      </w:r>
    </w:p>
    <w:p>
      <w:pPr>
        <w:jc w:val="center"/>
        <w:rPr>
          <w:rFonts w:hint="eastAsia" w:ascii="宋体" w:hAnsi="宋体"/>
          <w:sz w:val="24"/>
          <w:szCs w:val="24"/>
        </w:rPr>
      </w:pPr>
    </w:p>
    <w:p>
      <w:pPr>
        <w:snapToGrid w:val="0"/>
        <w:spacing w:line="360" w:lineRule="auto"/>
        <w:jc w:val="left"/>
        <w:rPr>
          <w:rFonts w:hint="eastAsia" w:ascii="黑体" w:hAnsi="黑体" w:eastAsia="黑体" w:cstheme="majorBidi"/>
          <w:b/>
          <w:bCs/>
          <w:sz w:val="28"/>
          <w:szCs w:val="28"/>
          <w:lang w:eastAsia="zh-CN"/>
        </w:rPr>
      </w:pPr>
      <w:r>
        <w:rPr>
          <w:rFonts w:hint="eastAsia" w:ascii="黑体" w:hAnsi="黑体" w:eastAsia="黑体" w:cstheme="majorBidi"/>
          <w:b/>
          <w:bCs/>
          <w:sz w:val="28"/>
          <w:szCs w:val="28"/>
          <w:lang w:eastAsia="zh-CN"/>
        </w:rPr>
        <w:t>（二）毕业生毕业率、学位授予率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sz w:val="24"/>
          <w:szCs w:val="24"/>
          <w:u w:val="none"/>
        </w:rPr>
      </w:pPr>
      <w:r>
        <w:rPr>
          <w:rFonts w:hint="eastAsia" w:ascii="宋体" w:hAnsi="宋体" w:eastAsia="宋体"/>
          <w:sz w:val="24"/>
          <w:szCs w:val="24"/>
        </w:rPr>
        <w:t>2018届共有本科毕业生1774人，实际毕业人数1645人，毕业率为92.73%，学位授予率为99.88%。毕业生就业人数为1560人，总体就业率达94.83%。</w:t>
      </w:r>
    </w:p>
    <w:p>
      <w:pPr>
        <w:pStyle w:val="3"/>
        <w:jc w:val="left"/>
        <w:rPr>
          <w:rFonts w:hint="eastAsia" w:eastAsia="黑体"/>
          <w:lang w:eastAsia="zh-CN"/>
        </w:rPr>
      </w:pPr>
      <w:bookmarkStart w:id="64" w:name="_Toc32157"/>
      <w:r>
        <w:rPr>
          <w:rFonts w:hint="eastAsia" w:ascii="黑体" w:hAnsi="黑体" w:eastAsia="黑体"/>
          <w:sz w:val="28"/>
          <w:szCs w:val="28"/>
        </w:rPr>
        <w:t>（</w:t>
      </w:r>
      <w:r>
        <w:rPr>
          <w:rFonts w:hint="eastAsia" w:ascii="黑体" w:hAnsi="黑体" w:eastAsia="黑体"/>
          <w:sz w:val="28"/>
          <w:szCs w:val="28"/>
          <w:lang w:eastAsia="zh-CN"/>
        </w:rPr>
        <w:t>三</w:t>
      </w:r>
      <w:r>
        <w:rPr>
          <w:rFonts w:hint="eastAsia" w:ascii="黑体" w:hAnsi="黑体" w:eastAsia="黑体"/>
          <w:sz w:val="28"/>
          <w:szCs w:val="28"/>
        </w:rPr>
        <w:t>）就业情况</w:t>
      </w:r>
      <w:r>
        <w:rPr>
          <w:rFonts w:hint="eastAsia" w:ascii="黑体" w:hAnsi="黑体" w:eastAsia="黑体"/>
          <w:sz w:val="28"/>
          <w:szCs w:val="28"/>
          <w:lang w:eastAsia="zh-CN"/>
        </w:rPr>
        <w:t>及用人单位评价</w:t>
      </w:r>
      <w:bookmarkEnd w:id="6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sz w:val="24"/>
          <w:szCs w:val="24"/>
          <w:lang w:eastAsia="zh-CN"/>
        </w:rPr>
      </w:pPr>
      <w:r>
        <w:rPr>
          <w:rFonts w:hint="eastAsia" w:ascii="宋体" w:hAnsi="宋体" w:eastAsia="宋体"/>
          <w:b w:val="0"/>
          <w:bCs w:val="0"/>
          <w:sz w:val="24"/>
          <w:szCs w:val="24"/>
          <w:u w:val="none"/>
          <w:lang w:val="en-US" w:eastAsia="zh-CN"/>
        </w:rPr>
        <w:t>2018年</w:t>
      </w:r>
      <w:r>
        <w:rPr>
          <w:rFonts w:hint="eastAsia" w:ascii="宋体" w:hAnsi="宋体" w:eastAsia="宋体"/>
          <w:b w:val="0"/>
          <w:bCs w:val="0"/>
          <w:sz w:val="24"/>
          <w:szCs w:val="24"/>
          <w:u w:val="none"/>
        </w:rPr>
        <w:t>，</w:t>
      </w:r>
      <w:r>
        <w:rPr>
          <w:rFonts w:hint="eastAsia" w:ascii="宋体" w:hAnsi="宋体" w:eastAsia="宋体"/>
          <w:sz w:val="24"/>
          <w:szCs w:val="24"/>
        </w:rPr>
        <w:t>学校</w:t>
      </w:r>
      <w:r>
        <w:rPr>
          <w:rFonts w:hint="eastAsia" w:ascii="宋体" w:hAnsi="宋体" w:eastAsia="宋体"/>
          <w:sz w:val="24"/>
          <w:szCs w:val="24"/>
          <w:lang w:eastAsia="zh-CN"/>
        </w:rPr>
        <w:t>应届</w:t>
      </w:r>
      <w:r>
        <w:rPr>
          <w:rFonts w:hint="eastAsia" w:ascii="宋体" w:hAnsi="宋体" w:eastAsia="宋体"/>
          <w:sz w:val="24"/>
          <w:szCs w:val="24"/>
        </w:rPr>
        <w:t>本科毕业生</w:t>
      </w:r>
      <w:r>
        <w:rPr>
          <w:rFonts w:hint="eastAsia" w:ascii="宋体" w:hAnsi="宋体" w:eastAsia="宋体"/>
          <w:sz w:val="24"/>
          <w:szCs w:val="24"/>
          <w:lang w:eastAsia="zh-CN"/>
        </w:rPr>
        <w:t>共计</w:t>
      </w:r>
      <w:r>
        <w:rPr>
          <w:rFonts w:hint="eastAsia" w:ascii="宋体" w:hAnsi="宋体" w:eastAsia="宋体"/>
          <w:sz w:val="24"/>
          <w:szCs w:val="24"/>
          <w:lang w:val="en-US" w:eastAsia="zh-CN"/>
        </w:rPr>
        <w:t>1645人，其中</w:t>
      </w:r>
      <w:r>
        <w:rPr>
          <w:rFonts w:hint="eastAsia" w:ascii="宋体" w:hAnsi="宋体" w:eastAsia="宋体"/>
          <w:sz w:val="24"/>
          <w:szCs w:val="24"/>
        </w:rPr>
        <w:t>就业1560人，</w:t>
      </w:r>
      <w:r>
        <w:rPr>
          <w:rFonts w:hint="eastAsia" w:ascii="宋体" w:hAnsi="宋体" w:eastAsia="宋体"/>
          <w:b w:val="0"/>
          <w:bCs w:val="0"/>
          <w:sz w:val="24"/>
          <w:szCs w:val="24"/>
          <w:u w:val="none"/>
        </w:rPr>
        <w:t>就业率</w:t>
      </w:r>
      <w:r>
        <w:rPr>
          <w:rFonts w:hint="eastAsia" w:ascii="宋体" w:hAnsi="宋体" w:eastAsia="宋体"/>
          <w:sz w:val="24"/>
          <w:szCs w:val="24"/>
        </w:rPr>
        <w:t>94.83%</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hAnsi="宋体" w:eastAsia="宋体"/>
          <w:sz w:val="24"/>
          <w:szCs w:val="24"/>
        </w:rPr>
      </w:pPr>
      <w:r>
        <w:rPr>
          <w:rFonts w:hint="eastAsia" w:ascii="宋体" w:hAnsi="宋体" w:eastAsia="宋体"/>
          <w:sz w:val="24"/>
          <w:szCs w:val="24"/>
          <w:lang w:eastAsia="zh-CN"/>
        </w:rPr>
        <w:t>从就业区域来看，我校毕业生就业区域符合学校服务面向定位，在广西区内就业</w:t>
      </w:r>
      <w:r>
        <w:rPr>
          <w:rFonts w:hint="eastAsia" w:ascii="宋体" w:hAnsi="宋体" w:eastAsia="宋体"/>
          <w:sz w:val="24"/>
          <w:szCs w:val="24"/>
          <w:lang w:val="en-US" w:eastAsia="zh-CN"/>
        </w:rPr>
        <w:t>75.77%、在南宁市就业</w:t>
      </w:r>
      <w:r>
        <w:rPr>
          <w:rFonts w:hint="eastAsia" w:ascii="宋体" w:hAnsi="宋体" w:eastAsia="宋体"/>
          <w:sz w:val="24"/>
          <w:szCs w:val="24"/>
        </w:rPr>
        <w:t>51.47%</w:t>
      </w:r>
      <w:r>
        <w:rPr>
          <w:rFonts w:hint="eastAsia" w:ascii="宋体" w:hAnsi="宋体" w:eastAsia="宋体"/>
          <w:sz w:val="24"/>
          <w:szCs w:val="24"/>
          <w:lang w:eastAsia="zh-CN"/>
        </w:rPr>
        <w:t>、在北部湾城市群就业</w:t>
      </w:r>
      <w:r>
        <w:rPr>
          <w:rFonts w:hint="eastAsia" w:ascii="宋体" w:hAnsi="宋体" w:eastAsia="宋体"/>
          <w:sz w:val="24"/>
          <w:szCs w:val="24"/>
        </w:rPr>
        <w:t>57.94%</w:t>
      </w:r>
      <w:r>
        <w:rPr>
          <w:rFonts w:hint="eastAsia" w:ascii="宋体" w:hAnsi="宋体" w:eastAsia="宋体"/>
          <w:sz w:val="24"/>
          <w:szCs w:val="24"/>
          <w:lang w:eastAsia="zh-CN"/>
        </w:rPr>
        <w:t>；从就业去向来看，我校毕业生集中在企业就业。具体数据如下：</w:t>
      </w:r>
      <w:r>
        <w:rPr>
          <w:rFonts w:hint="eastAsia" w:ascii="宋体" w:hAnsi="宋体" w:eastAsia="宋体"/>
          <w:sz w:val="24"/>
          <w:szCs w:val="24"/>
        </w:rPr>
        <w:t>考取研究生7人，占0.4</w:t>
      </w:r>
      <w:r>
        <w:rPr>
          <w:rFonts w:hint="eastAsia" w:ascii="宋体" w:hAnsi="宋体" w:eastAsia="宋体"/>
          <w:sz w:val="24"/>
          <w:szCs w:val="24"/>
          <w:lang w:val="en-US" w:eastAsia="zh-CN"/>
        </w:rPr>
        <w:t>5</w:t>
      </w:r>
      <w:r>
        <w:rPr>
          <w:rFonts w:hint="eastAsia" w:ascii="宋体" w:hAnsi="宋体" w:eastAsia="宋体"/>
          <w:sz w:val="24"/>
          <w:szCs w:val="24"/>
        </w:rPr>
        <w:t>%；</w:t>
      </w:r>
      <w:r>
        <w:rPr>
          <w:rFonts w:hint="eastAsia" w:ascii="宋体" w:hAnsi="宋体" w:eastAsia="宋体"/>
          <w:sz w:val="24"/>
          <w:szCs w:val="24"/>
          <w:lang w:eastAsia="zh-CN"/>
        </w:rPr>
        <w:t>入职政府机构</w:t>
      </w:r>
      <w:r>
        <w:rPr>
          <w:rFonts w:hint="eastAsia" w:ascii="宋体" w:hAnsi="宋体" w:eastAsia="宋体"/>
          <w:sz w:val="24"/>
          <w:szCs w:val="24"/>
        </w:rPr>
        <w:t>35人，占2.</w:t>
      </w:r>
      <w:r>
        <w:rPr>
          <w:rFonts w:hint="eastAsia" w:ascii="宋体" w:hAnsi="宋体" w:eastAsia="宋体"/>
          <w:sz w:val="24"/>
          <w:szCs w:val="24"/>
          <w:lang w:val="en-US" w:eastAsia="zh-CN"/>
        </w:rPr>
        <w:t>24</w:t>
      </w:r>
      <w:r>
        <w:rPr>
          <w:rFonts w:hint="eastAsia" w:ascii="宋体" w:hAnsi="宋体" w:eastAsia="宋体"/>
          <w:sz w:val="24"/>
          <w:szCs w:val="24"/>
        </w:rPr>
        <w:t>%；</w:t>
      </w:r>
      <w:r>
        <w:rPr>
          <w:rFonts w:hint="eastAsia" w:ascii="宋体" w:hAnsi="宋体" w:eastAsia="宋体"/>
          <w:sz w:val="24"/>
          <w:szCs w:val="24"/>
          <w:lang w:eastAsia="zh-CN"/>
        </w:rPr>
        <w:t>入职</w:t>
      </w:r>
      <w:r>
        <w:rPr>
          <w:rFonts w:hint="eastAsia" w:ascii="宋体" w:hAnsi="宋体" w:eastAsia="宋体"/>
          <w:sz w:val="24"/>
          <w:szCs w:val="24"/>
        </w:rPr>
        <w:t>事业单位</w:t>
      </w:r>
      <w:r>
        <w:rPr>
          <w:rFonts w:hint="eastAsia" w:ascii="宋体" w:hAnsi="宋体" w:eastAsia="宋体"/>
          <w:sz w:val="24"/>
          <w:szCs w:val="24"/>
          <w:lang w:val="en-US" w:eastAsia="zh-CN"/>
        </w:rPr>
        <w:t>91</w:t>
      </w:r>
      <w:r>
        <w:rPr>
          <w:rFonts w:hint="eastAsia" w:ascii="宋体" w:hAnsi="宋体" w:eastAsia="宋体"/>
          <w:sz w:val="24"/>
          <w:szCs w:val="24"/>
        </w:rPr>
        <w:t>人，占</w:t>
      </w:r>
      <w:r>
        <w:rPr>
          <w:rFonts w:hint="eastAsia" w:ascii="宋体" w:hAnsi="宋体" w:eastAsia="宋体"/>
          <w:sz w:val="24"/>
          <w:szCs w:val="24"/>
          <w:lang w:val="en-US" w:eastAsia="zh-CN"/>
        </w:rPr>
        <w:t>5.83</w:t>
      </w:r>
      <w:r>
        <w:rPr>
          <w:rFonts w:hint="eastAsia" w:ascii="宋体" w:hAnsi="宋体" w:eastAsia="宋体"/>
          <w:sz w:val="24"/>
          <w:szCs w:val="24"/>
        </w:rPr>
        <w:t>%；参军</w:t>
      </w:r>
      <w:r>
        <w:rPr>
          <w:rFonts w:hint="eastAsia" w:ascii="宋体" w:hAnsi="宋体" w:eastAsia="宋体"/>
          <w:sz w:val="24"/>
          <w:szCs w:val="24"/>
          <w:lang w:val="en-US" w:eastAsia="zh-CN"/>
        </w:rPr>
        <w:t>4</w:t>
      </w:r>
      <w:r>
        <w:rPr>
          <w:rFonts w:hint="eastAsia" w:ascii="宋体" w:hAnsi="宋体" w:eastAsia="宋体"/>
          <w:sz w:val="24"/>
          <w:szCs w:val="24"/>
        </w:rPr>
        <w:t>人，占0.</w:t>
      </w:r>
      <w:r>
        <w:rPr>
          <w:rFonts w:hint="eastAsia" w:ascii="宋体" w:hAnsi="宋体" w:eastAsia="宋体"/>
          <w:sz w:val="24"/>
          <w:szCs w:val="24"/>
          <w:lang w:val="en-US" w:eastAsia="zh-CN"/>
        </w:rPr>
        <w:t>26</w:t>
      </w:r>
      <w:r>
        <w:rPr>
          <w:rFonts w:hint="eastAsia" w:ascii="宋体" w:hAnsi="宋体" w:eastAsia="宋体"/>
          <w:sz w:val="24"/>
          <w:szCs w:val="24"/>
        </w:rPr>
        <w:t>%；</w:t>
      </w:r>
      <w:r>
        <w:rPr>
          <w:rFonts w:hint="eastAsia" w:ascii="宋体" w:hAnsi="宋体" w:eastAsia="宋体"/>
          <w:sz w:val="24"/>
          <w:szCs w:val="24"/>
          <w:lang w:eastAsia="zh-CN"/>
        </w:rPr>
        <w:t>入职</w:t>
      </w:r>
      <w:r>
        <w:rPr>
          <w:rFonts w:hint="eastAsia" w:ascii="宋体" w:hAnsi="宋体" w:eastAsia="宋体"/>
          <w:sz w:val="24"/>
          <w:szCs w:val="24"/>
        </w:rPr>
        <w:t>企业14</w:t>
      </w:r>
      <w:r>
        <w:rPr>
          <w:rFonts w:hint="eastAsia" w:ascii="宋体" w:hAnsi="宋体" w:eastAsia="宋体"/>
          <w:sz w:val="24"/>
          <w:szCs w:val="24"/>
          <w:lang w:val="en-US" w:eastAsia="zh-CN"/>
        </w:rPr>
        <w:t>04</w:t>
      </w:r>
      <w:r>
        <w:rPr>
          <w:rFonts w:hint="eastAsia" w:ascii="宋体" w:hAnsi="宋体" w:eastAsia="宋体"/>
          <w:sz w:val="24"/>
          <w:szCs w:val="24"/>
        </w:rPr>
        <w:t>人，占</w:t>
      </w:r>
      <w:r>
        <w:rPr>
          <w:rFonts w:hint="eastAsia" w:ascii="宋体" w:hAnsi="宋体" w:eastAsia="宋体"/>
          <w:sz w:val="24"/>
          <w:szCs w:val="24"/>
          <w:lang w:val="en-US" w:eastAsia="zh-CN"/>
        </w:rPr>
        <w:t>90</w:t>
      </w:r>
      <w:r>
        <w:rPr>
          <w:rFonts w:hint="eastAsia" w:ascii="宋体" w:hAnsi="宋体" w:eastAsia="宋体"/>
          <w:sz w:val="24"/>
          <w:szCs w:val="24"/>
        </w:rPr>
        <w:t>%</w:t>
      </w:r>
      <w:r>
        <w:rPr>
          <w:rFonts w:hint="eastAsia" w:ascii="宋体" w:hAnsi="宋体" w:eastAsia="宋体"/>
          <w:sz w:val="24"/>
          <w:szCs w:val="24"/>
          <w:lang w:eastAsia="zh-CN"/>
        </w:rPr>
        <w:t>；参加国家地方项目就业</w:t>
      </w:r>
      <w:r>
        <w:rPr>
          <w:rFonts w:hint="eastAsia" w:ascii="宋体" w:hAnsi="宋体" w:eastAsia="宋体"/>
          <w:sz w:val="24"/>
          <w:szCs w:val="24"/>
          <w:lang w:val="en-US" w:eastAsia="zh-CN"/>
        </w:rPr>
        <w:t>12人，占0.77%；其他就业7人，占0.45%。</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宋体" w:hAnsi="宋体" w:eastAsia="宋体"/>
          <w:bCs w:val="0"/>
          <w:sz w:val="24"/>
          <w:szCs w:val="24"/>
        </w:rPr>
      </w:pPr>
      <w:r>
        <w:rPr>
          <w:rFonts w:hint="eastAsia" w:ascii="宋体" w:hAnsi="宋体" w:eastAsia="宋体"/>
          <w:sz w:val="24"/>
          <w:szCs w:val="24"/>
        </w:rPr>
        <w:t>2017年，学校首届本科毕业生走上工作岗位，为及时掌握毕业生就业质量，反哺培养方案的修订，学校启动了毕业生就业质量跟踪调查。调查数据显示，南宁学院2017届毕业半年后的就业率为92.0%，</w:t>
      </w:r>
      <w:r>
        <w:rPr>
          <w:rFonts w:hint="eastAsia" w:ascii="宋体" w:hAnsi="宋体" w:eastAsia="宋体"/>
          <w:sz w:val="24"/>
          <w:szCs w:val="24"/>
          <w:lang w:val="en-US" w:eastAsia="zh-CN"/>
        </w:rPr>
        <w:t>比民办本科2017届毕业生就业率</w:t>
      </w:r>
      <w:r>
        <w:rPr>
          <w:rFonts w:hint="eastAsia" w:ascii="宋体" w:hAnsi="宋体" w:eastAsia="宋体"/>
          <w:sz w:val="24"/>
          <w:szCs w:val="24"/>
        </w:rPr>
        <w:t>（90.5%）高1.5个百分点，其中七成以上（73.7%）毕业生在广西就业，主要就业的城市为南宁（43.8%），实现了学校确立的“立足以南宁市为核心的北部湾城市群”的服务面向定位目标；</w:t>
      </w:r>
      <w:r>
        <w:rPr>
          <w:rFonts w:hint="eastAsia" w:ascii="宋体" w:hAnsi="宋体" w:eastAsia="宋体"/>
          <w:bCs w:val="0"/>
          <w:sz w:val="24"/>
          <w:szCs w:val="24"/>
        </w:rPr>
        <w:t>用人单位满意度较高，聘用过我校应届毕业生的用人单位对应届毕业生的总体满意度97%，多数行业类用人单位对应届毕业生的满意度均达到100%。聘用过我校应届毕业生的用人单位中，有35%认为本校应届毕业生的整体表现高于平均水平。</w:t>
      </w:r>
    </w:p>
    <w:p>
      <w:pPr>
        <w:pStyle w:val="3"/>
        <w:jc w:val="left"/>
        <w:rPr>
          <w:rFonts w:hint="eastAsia" w:ascii="黑体" w:hAnsi="黑体" w:eastAsia="黑体" w:cstheme="majorBidi"/>
          <w:kern w:val="2"/>
          <w:sz w:val="28"/>
          <w:szCs w:val="28"/>
          <w:lang w:val="en-US" w:eastAsia="zh-CN"/>
        </w:rPr>
      </w:pPr>
      <w:bookmarkStart w:id="65" w:name="_Toc1121"/>
      <w:r>
        <w:rPr>
          <w:rFonts w:hint="eastAsia" w:ascii="黑体" w:hAnsi="黑体" w:eastAsia="黑体" w:cstheme="majorBidi"/>
          <w:kern w:val="2"/>
          <w:sz w:val="28"/>
          <w:szCs w:val="28"/>
          <w:lang w:val="en-US" w:eastAsia="zh-CN"/>
        </w:rPr>
        <w:t>（四）学生竞赛及发明专利情况</w:t>
      </w:r>
      <w:bookmarkEnd w:id="65"/>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jc w:val="left"/>
        <w:textAlignment w:val="auto"/>
        <w:outlineLvl w:val="9"/>
        <w:rPr>
          <w:rFonts w:hint="eastAsia" w:ascii="宋体" w:hAnsi="宋体" w:eastAsia="宋体" w:cstheme="minorBidi"/>
          <w:sz w:val="24"/>
          <w:szCs w:val="24"/>
        </w:rPr>
      </w:pPr>
      <w:r>
        <w:rPr>
          <w:rFonts w:hint="eastAsia" w:ascii="宋体" w:hAnsi="宋体" w:eastAsia="宋体" w:cstheme="minorBidi"/>
          <w:kern w:val="2"/>
          <w:sz w:val="24"/>
          <w:szCs w:val="24"/>
          <w:lang w:val="en-US" w:eastAsia="zh-CN"/>
        </w:rPr>
        <w:t>2017-2018学年，我校</w:t>
      </w:r>
      <w:r>
        <w:rPr>
          <w:rFonts w:hint="eastAsia" w:ascii="宋体" w:hAnsi="宋体" w:eastAsia="宋体" w:cstheme="minorBidi"/>
          <w:sz w:val="24"/>
          <w:szCs w:val="24"/>
        </w:rPr>
        <w:t>本科生获国家级学科竞赛奖励数为</w:t>
      </w:r>
      <w:r>
        <w:rPr>
          <w:rFonts w:hint="eastAsia" w:ascii="宋体" w:hAnsi="宋体" w:eastAsia="宋体" w:cstheme="minorBidi"/>
          <w:sz w:val="24"/>
          <w:szCs w:val="24"/>
          <w:u w:val="none"/>
        </w:rPr>
        <w:t>38</w:t>
      </w:r>
      <w:r>
        <w:rPr>
          <w:rFonts w:hint="eastAsia" w:ascii="宋体" w:hAnsi="宋体" w:eastAsia="宋体" w:cstheme="minorBidi"/>
          <w:sz w:val="24"/>
          <w:szCs w:val="24"/>
        </w:rPr>
        <w:t>项，获省部级学科竞赛奖励数为</w:t>
      </w:r>
      <w:r>
        <w:rPr>
          <w:rFonts w:hint="eastAsia" w:ascii="宋体" w:hAnsi="宋体" w:eastAsia="宋体" w:cstheme="minorBidi"/>
          <w:sz w:val="24"/>
          <w:szCs w:val="24"/>
          <w:u w:val="none"/>
        </w:rPr>
        <w:t>466</w:t>
      </w:r>
      <w:r>
        <w:rPr>
          <w:rFonts w:hint="eastAsia" w:ascii="宋体" w:hAnsi="宋体" w:eastAsia="宋体" w:cstheme="minorBidi"/>
          <w:sz w:val="24"/>
          <w:szCs w:val="24"/>
        </w:rPr>
        <w:t>项；本科生获国家级创新活动、技能竞赛奖励数为</w:t>
      </w:r>
      <w:r>
        <w:rPr>
          <w:rFonts w:hint="eastAsia" w:ascii="宋体" w:hAnsi="宋体" w:eastAsia="宋体" w:cstheme="minorBidi"/>
          <w:sz w:val="24"/>
          <w:szCs w:val="24"/>
          <w:u w:val="none"/>
        </w:rPr>
        <w:t>23</w:t>
      </w:r>
      <w:r>
        <w:rPr>
          <w:rFonts w:hint="eastAsia" w:ascii="宋体" w:hAnsi="宋体" w:eastAsia="宋体" w:cstheme="minorBidi"/>
          <w:sz w:val="24"/>
          <w:szCs w:val="24"/>
        </w:rPr>
        <w:t>项，获省部级创新活动、技能竞赛奖励数为</w:t>
      </w:r>
      <w:r>
        <w:rPr>
          <w:rFonts w:hint="eastAsia" w:ascii="宋体" w:hAnsi="宋体" w:eastAsia="宋体" w:cstheme="minorBidi"/>
          <w:sz w:val="24"/>
          <w:szCs w:val="24"/>
          <w:u w:val="none"/>
        </w:rPr>
        <w:t>432</w:t>
      </w:r>
      <w:r>
        <w:rPr>
          <w:rFonts w:hint="eastAsia" w:ascii="宋体" w:hAnsi="宋体" w:eastAsia="宋体" w:cstheme="minorBidi"/>
          <w:sz w:val="24"/>
          <w:szCs w:val="24"/>
        </w:rPr>
        <w:t>项；本科生获国家级文艺、体育奖励数为</w:t>
      </w:r>
      <w:r>
        <w:rPr>
          <w:rFonts w:hint="eastAsia" w:ascii="宋体" w:hAnsi="宋体" w:eastAsia="宋体" w:cstheme="minorBidi"/>
          <w:sz w:val="24"/>
          <w:szCs w:val="24"/>
          <w:u w:val="none"/>
        </w:rPr>
        <w:t>15</w:t>
      </w:r>
      <w:r>
        <w:rPr>
          <w:rFonts w:hint="eastAsia" w:ascii="宋体" w:hAnsi="宋体" w:eastAsia="宋体" w:cstheme="minorBidi"/>
          <w:sz w:val="24"/>
          <w:szCs w:val="24"/>
        </w:rPr>
        <w:t>项 ，省部级文艺、体育奖励数为</w:t>
      </w:r>
      <w:r>
        <w:rPr>
          <w:rFonts w:hint="eastAsia" w:ascii="宋体" w:hAnsi="宋体" w:eastAsia="宋体" w:cstheme="minorBidi"/>
          <w:sz w:val="24"/>
          <w:szCs w:val="24"/>
          <w:u w:val="none"/>
        </w:rPr>
        <w:t>34</w:t>
      </w:r>
      <w:r>
        <w:rPr>
          <w:rFonts w:hint="eastAsia" w:ascii="宋体" w:hAnsi="宋体" w:eastAsia="宋体" w:cstheme="minorBidi"/>
          <w:sz w:val="24"/>
          <w:szCs w:val="24"/>
        </w:rPr>
        <w:t>项；学生发表学术论文</w:t>
      </w:r>
      <w:r>
        <w:rPr>
          <w:rFonts w:hint="eastAsia" w:ascii="宋体" w:hAnsi="宋体" w:eastAsia="宋体" w:cstheme="minorBidi"/>
          <w:sz w:val="24"/>
          <w:szCs w:val="24"/>
          <w:u w:val="none"/>
        </w:rPr>
        <w:t>7</w:t>
      </w:r>
      <w:r>
        <w:rPr>
          <w:rFonts w:hint="eastAsia" w:ascii="宋体" w:hAnsi="宋体" w:eastAsia="宋体" w:cstheme="minorBidi"/>
          <w:sz w:val="24"/>
          <w:szCs w:val="24"/>
        </w:rPr>
        <w:t>篇，发表作品</w:t>
      </w:r>
      <w:r>
        <w:rPr>
          <w:rFonts w:hint="eastAsia" w:ascii="宋体" w:hAnsi="宋体" w:eastAsia="宋体" w:cstheme="minorBidi"/>
          <w:sz w:val="24"/>
          <w:szCs w:val="24"/>
          <w:u w:val="none"/>
        </w:rPr>
        <w:t>28</w:t>
      </w:r>
      <w:r>
        <w:rPr>
          <w:rFonts w:hint="eastAsia" w:ascii="宋体" w:hAnsi="宋体" w:eastAsia="宋体" w:cstheme="minorBidi"/>
          <w:sz w:val="24"/>
          <w:szCs w:val="24"/>
        </w:rPr>
        <w:t>篇（册），获准专利</w:t>
      </w:r>
      <w:r>
        <w:rPr>
          <w:rFonts w:hint="eastAsia" w:ascii="宋体" w:hAnsi="宋体" w:eastAsia="宋体" w:cstheme="minorBidi"/>
          <w:sz w:val="24"/>
          <w:szCs w:val="24"/>
          <w:u w:val="none"/>
        </w:rPr>
        <w:t>21</w:t>
      </w:r>
      <w:r>
        <w:rPr>
          <w:rFonts w:hint="eastAsia" w:ascii="宋体" w:hAnsi="宋体" w:eastAsia="宋体" w:cstheme="minorBidi"/>
          <w:sz w:val="24"/>
          <w:szCs w:val="24"/>
        </w:rPr>
        <w:t>项。</w:t>
      </w:r>
    </w:p>
    <w:p>
      <w:pPr>
        <w:pStyle w:val="3"/>
        <w:jc w:val="left"/>
        <w:rPr>
          <w:rFonts w:hint="eastAsia" w:ascii="黑体" w:hAnsi="黑体" w:eastAsia="黑体" w:cstheme="majorBidi"/>
          <w:kern w:val="2"/>
          <w:sz w:val="28"/>
          <w:szCs w:val="28"/>
          <w:lang w:val="en-US" w:eastAsia="zh-CN"/>
        </w:rPr>
      </w:pPr>
      <w:bookmarkStart w:id="66" w:name="_Toc14476"/>
      <w:r>
        <w:rPr>
          <w:rFonts w:hint="eastAsia" w:ascii="黑体" w:hAnsi="黑体" w:eastAsia="黑体" w:cstheme="majorBidi"/>
          <w:kern w:val="2"/>
          <w:sz w:val="28"/>
          <w:szCs w:val="28"/>
          <w:lang w:val="en-US" w:eastAsia="zh-CN"/>
        </w:rPr>
        <w:t>（五）社会实践活动</w:t>
      </w:r>
      <w:bookmarkEnd w:id="6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rPr>
      </w:pPr>
      <w:r>
        <w:rPr>
          <w:rFonts w:hint="eastAsia" w:ascii="宋体" w:hAnsi="宋体" w:eastAsia="宋体" w:cs="宋体"/>
          <w:sz w:val="24"/>
          <w:lang w:val="en-US" w:eastAsia="zh-CN"/>
        </w:rPr>
        <w:t>2017-2018</w:t>
      </w:r>
      <w:r>
        <w:rPr>
          <w:rFonts w:hint="eastAsia" w:ascii="宋体" w:hAnsi="宋体" w:eastAsia="宋体" w:cs="宋体"/>
          <w:sz w:val="24"/>
        </w:rPr>
        <w:t>学年，全校25个本科专业开设了社会实践课程，开课率100%，每名学生参与1周以上的社会实践活动。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sz w:val="24"/>
          <w:szCs w:val="24"/>
          <w:u w:val="none"/>
        </w:rPr>
      </w:pPr>
      <w:r>
        <w:rPr>
          <w:rFonts w:hint="eastAsia" w:ascii="宋体" w:hAnsi="宋体" w:eastAsia="宋体" w:cs="宋体"/>
          <w:sz w:val="24"/>
        </w:rPr>
        <w:t>学校坚持把社会主义核心价值观及学校“自强、责任、卓越、有用”的核心价值观融入大学生社会实践工作全过程，培育学生社会责任感和奉献精神，培养学生的实践动手能力和创新精神，提升解决实际问题的能力。学校本学年暑期“三下乡”社会实践活动组建了25个校级团队，其中1个团队获评国家级重点团队，3个团队获评自治区级重点团队，学校荣获2018年广西大中专学生志愿者暑期“三下乡”社会实践活动优秀单位。</w:t>
      </w:r>
    </w:p>
    <w:p>
      <w:pPr>
        <w:pStyle w:val="2"/>
        <w:numPr>
          <w:numId w:val="0"/>
        </w:numPr>
        <w:jc w:val="left"/>
        <w:rPr>
          <w:rFonts w:hint="eastAsia" w:ascii="黑体" w:hAnsi="黑体" w:eastAsia="黑体"/>
          <w:sz w:val="30"/>
          <w:szCs w:val="30"/>
        </w:rPr>
      </w:pPr>
      <w:bookmarkStart w:id="67" w:name="_Toc29590"/>
      <w:r>
        <w:rPr>
          <w:rFonts w:hint="eastAsia" w:ascii="黑体" w:hAnsi="黑体" w:eastAsia="黑体"/>
          <w:sz w:val="30"/>
          <w:szCs w:val="30"/>
          <w:lang w:val="en-US" w:eastAsia="zh-CN"/>
        </w:rPr>
        <w:t>七、</w:t>
      </w:r>
      <w:r>
        <w:rPr>
          <w:rFonts w:hint="eastAsia" w:ascii="黑体" w:hAnsi="黑体" w:eastAsia="黑体"/>
          <w:sz w:val="30"/>
          <w:szCs w:val="30"/>
        </w:rPr>
        <w:t>特色发展</w:t>
      </w:r>
      <w:bookmarkEnd w:id="67"/>
    </w:p>
    <w:p>
      <w:pPr>
        <w:pStyle w:val="3"/>
        <w:jc w:val="left"/>
        <w:rPr>
          <w:rFonts w:hint="eastAsia" w:ascii="黑体" w:hAnsi="黑体" w:eastAsia="黑体" w:cstheme="majorBidi"/>
          <w:kern w:val="2"/>
          <w:sz w:val="28"/>
          <w:szCs w:val="28"/>
          <w:lang w:val="en-US" w:eastAsia="zh-CN"/>
        </w:rPr>
      </w:pPr>
      <w:bookmarkStart w:id="68" w:name="_Toc26890"/>
      <w:r>
        <w:rPr>
          <w:rFonts w:hint="eastAsia" w:ascii="黑体" w:hAnsi="黑体" w:eastAsia="黑体" w:cstheme="majorBidi"/>
          <w:kern w:val="2"/>
          <w:sz w:val="28"/>
          <w:szCs w:val="28"/>
          <w:lang w:val="en-US" w:eastAsia="zh-CN"/>
        </w:rPr>
        <w:t>（一）对接产业设置专业，提升专业服务区域经济社会发展的能力</w:t>
      </w:r>
      <w:bookmarkEnd w:id="68"/>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专业是人才培养的基本载体，是应用型高校内涵建设的关键。南宁学院以服务南宁市为核心的北部湾城市群建设为办学使命，坚持专业链对接产业链、创新链、价值链的建设思路，推进“2+6”的应用型学科专业布局建设。即重点培育城市产业与公共服务工程、质量技术工程2大跨学科专业特色领域，重点发展6大专业集群，机电与先进制造专业群、交通与物流专业群、土木建筑工程专业群、信息与通讯技术专业群、文化产业与城市经营管理专业群、质量技术工程专业群。质量管理工程、工程审计、经济与金融等专业都是广西高校唯一的专业，形成了工学为主，管理学、经济学、艺术学为辅的应用型学科专业体系发展局面。</w:t>
      </w:r>
    </w:p>
    <w:p>
      <w:pPr>
        <w:spacing w:line="240" w:lineRule="auto"/>
        <w:ind w:firstLine="420"/>
        <w:jc w:val="left"/>
        <w:rPr>
          <w:rFonts w:hint="eastAsia" w:ascii="宋体" w:hAnsi="宋体" w:eastAsia="宋体"/>
          <w:bCs/>
          <w:sz w:val="24"/>
          <w:szCs w:val="24"/>
        </w:rPr>
      </w:pPr>
      <w:r>
        <w:rPr>
          <w:rFonts w:hint="eastAsia" w:ascii="宋体" w:hAnsi="宋体" w:eastAsia="宋体"/>
          <w:bCs w:val="0"/>
          <w:color w:val="auto"/>
          <w:sz w:val="24"/>
          <w:szCs w:val="24"/>
          <w:lang w:eastAsia="zh-CN"/>
        </w:rPr>
        <w:t>六大专业集群紧密对接</w:t>
      </w:r>
      <w:r>
        <w:rPr>
          <w:rFonts w:hint="eastAsia" w:ascii="宋体" w:hAnsi="宋体" w:eastAsia="宋体"/>
          <w:color w:val="auto"/>
          <w:sz w:val="24"/>
          <w:szCs w:val="24"/>
        </w:rPr>
        <w:t>广西“14+10”千亿元产业相关的工程、技术、管理类等紧缺专业，</w:t>
      </w:r>
      <w:r>
        <w:rPr>
          <w:rFonts w:hint="eastAsia" w:ascii="宋体" w:hAnsi="宋体" w:eastAsia="宋体"/>
          <w:bCs/>
          <w:sz w:val="24"/>
          <w:szCs w:val="24"/>
          <w:lang w:eastAsia="zh-CN"/>
        </w:rPr>
        <w:t>专业与产业行业适配度高</w:t>
      </w:r>
      <w:r>
        <w:rPr>
          <w:rFonts w:hint="eastAsia" w:ascii="宋体" w:hAnsi="宋体" w:eastAsia="宋体"/>
          <w:bCs/>
          <w:sz w:val="24"/>
          <w:szCs w:val="24"/>
        </w:rPr>
        <w:t>。</w:t>
      </w:r>
    </w:p>
    <w:p>
      <w:pPr>
        <w:ind w:firstLine="420"/>
        <w:jc w:val="center"/>
        <w:rPr>
          <w:rFonts w:hint="eastAsia" w:ascii="宋体" w:hAnsi="宋体" w:eastAsia="宋体"/>
          <w:b/>
          <w:bCs/>
          <w:color w:val="auto"/>
          <w:sz w:val="24"/>
          <w:szCs w:val="24"/>
        </w:rPr>
      </w:pPr>
    </w:p>
    <w:p>
      <w:pPr>
        <w:ind w:firstLine="420"/>
        <w:jc w:val="center"/>
        <w:rPr>
          <w:rFonts w:hint="eastAsia" w:ascii="宋体" w:hAnsi="宋体" w:eastAsia="宋体"/>
          <w:b/>
          <w:bCs/>
          <w:color w:val="auto"/>
          <w:sz w:val="24"/>
          <w:szCs w:val="24"/>
        </w:rPr>
      </w:pPr>
    </w:p>
    <w:p>
      <w:pPr>
        <w:ind w:firstLine="420"/>
        <w:jc w:val="center"/>
        <w:rPr>
          <w:rFonts w:hint="eastAsia" w:ascii="宋体" w:hAnsi="宋体" w:eastAsia="宋体"/>
          <w:b/>
          <w:bCs/>
          <w:color w:val="auto"/>
          <w:sz w:val="24"/>
          <w:szCs w:val="24"/>
        </w:rPr>
      </w:pPr>
    </w:p>
    <w:p>
      <w:pPr>
        <w:ind w:firstLine="420"/>
        <w:jc w:val="center"/>
        <w:rPr>
          <w:rFonts w:hint="eastAsia" w:ascii="宋体" w:hAnsi="宋体" w:eastAsia="宋体"/>
          <w:b/>
          <w:bCs/>
          <w:color w:val="auto"/>
          <w:sz w:val="24"/>
          <w:szCs w:val="24"/>
        </w:rPr>
      </w:pPr>
      <w:r>
        <w:rPr>
          <w:rFonts w:hint="eastAsia" w:ascii="宋体" w:hAnsi="宋体" w:eastAsia="宋体"/>
          <w:b/>
          <w:bCs/>
          <w:color w:val="auto"/>
          <w:sz w:val="24"/>
          <w:szCs w:val="24"/>
        </w:rPr>
        <w:t>表</w:t>
      </w:r>
      <w:r>
        <w:rPr>
          <w:rFonts w:hint="eastAsia" w:ascii="宋体" w:hAnsi="宋体" w:eastAsia="宋体"/>
          <w:b/>
          <w:bCs/>
          <w:color w:val="auto"/>
          <w:sz w:val="24"/>
          <w:szCs w:val="24"/>
          <w:lang w:val="en-US" w:eastAsia="zh-CN"/>
        </w:rPr>
        <w:t>7</w:t>
      </w:r>
      <w:r>
        <w:rPr>
          <w:rFonts w:hint="eastAsia" w:ascii="宋体" w:hAnsi="宋体" w:eastAsia="宋体"/>
          <w:b/>
          <w:bCs/>
          <w:color w:val="auto"/>
          <w:sz w:val="24"/>
          <w:szCs w:val="24"/>
        </w:rPr>
        <w:t>学校本科专业建设与服务北部湾城市群产业关联表</w:t>
      </w:r>
    </w:p>
    <w:p>
      <w:pPr>
        <w:spacing w:line="240" w:lineRule="auto"/>
        <w:ind w:firstLine="420"/>
        <w:jc w:val="left"/>
        <w:rPr>
          <w:rFonts w:hint="eastAsia" w:ascii="宋体" w:hAnsi="宋体" w:eastAsia="宋体"/>
          <w:bCs/>
          <w:sz w:val="24"/>
          <w:szCs w:val="24"/>
        </w:rPr>
      </w:pPr>
    </w:p>
    <w:tbl>
      <w:tblPr>
        <w:tblStyle w:val="14"/>
        <w:tblW w:w="8841" w:type="dxa"/>
        <w:tblCellSpacing w:w="0" w:type="dxa"/>
        <w:tblInd w:w="15" w:type="dxa"/>
        <w:shd w:val="clear" w:color="auto" w:fill="auto"/>
        <w:tblLayout w:type="fixed"/>
        <w:tblCellMar>
          <w:top w:w="0" w:type="dxa"/>
          <w:left w:w="0" w:type="dxa"/>
          <w:bottom w:w="0" w:type="dxa"/>
          <w:right w:w="0" w:type="dxa"/>
        </w:tblCellMar>
      </w:tblPr>
      <w:tblGrid>
        <w:gridCol w:w="3018"/>
        <w:gridCol w:w="2700"/>
        <w:gridCol w:w="3123"/>
      </w:tblGrid>
      <w:tr>
        <w:tblPrEx>
          <w:shd w:val="clear" w:color="auto" w:fill="auto"/>
          <w:tblLayout w:type="fixed"/>
          <w:tblCellMar>
            <w:top w:w="0" w:type="dxa"/>
            <w:left w:w="0" w:type="dxa"/>
            <w:bottom w:w="0" w:type="dxa"/>
            <w:right w:w="0" w:type="dxa"/>
          </w:tblCellMar>
        </w:tblPrEx>
        <w:trPr>
          <w:trHeight w:val="520" w:hRule="atLeast"/>
          <w:tblCellSpacing w:w="0" w:type="dxa"/>
        </w:trPr>
        <w:tc>
          <w:tcPr>
            <w:tcW w:w="3018" w:type="dxa"/>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8"/>
                <w:szCs w:val="28"/>
              </w:rPr>
              <w:t>专业群</w:t>
            </w:r>
          </w:p>
        </w:tc>
        <w:tc>
          <w:tcPr>
            <w:tcW w:w="2700" w:type="dxa"/>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8"/>
                <w:szCs w:val="28"/>
              </w:rPr>
              <w:t>内含专业</w:t>
            </w:r>
          </w:p>
        </w:tc>
        <w:tc>
          <w:tcPr>
            <w:tcW w:w="3123" w:type="dxa"/>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8"/>
                <w:szCs w:val="28"/>
              </w:rPr>
              <w:t>对接产业链</w:t>
            </w: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restart"/>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4"/>
                <w:szCs w:val="24"/>
              </w:rPr>
              <w:t>机电与先进制造专业群</w:t>
            </w: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电气工程及其自动化</w:t>
            </w:r>
          </w:p>
        </w:tc>
        <w:tc>
          <w:tcPr>
            <w:tcW w:w="3123" w:type="dxa"/>
            <w:vMerge w:val="restart"/>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加工制造</w:t>
            </w:r>
          </w:p>
        </w:tc>
      </w:tr>
      <w:tr>
        <w:tblPrEx>
          <w:shd w:val="clear" w:color="auto" w:fill="auto"/>
          <w:tblLayout w:type="fixed"/>
          <w:tblCellMar>
            <w:top w:w="0" w:type="dxa"/>
            <w:left w:w="0" w:type="dxa"/>
            <w:bottom w:w="0" w:type="dxa"/>
            <w:right w:w="0" w:type="dxa"/>
          </w:tblCellMar>
        </w:tblPrEx>
        <w:trPr>
          <w:trHeight w:val="48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机械设计制造及其自动化</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restart"/>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4"/>
                <w:szCs w:val="24"/>
              </w:rPr>
              <w:t>交通与物流专业群</w:t>
            </w: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交通运输</w:t>
            </w:r>
          </w:p>
        </w:tc>
        <w:tc>
          <w:tcPr>
            <w:tcW w:w="3123" w:type="dxa"/>
            <w:vMerge w:val="restart"/>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交通和物流</w:t>
            </w: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物流工程</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汽车服务工程</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restart"/>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4"/>
                <w:szCs w:val="24"/>
              </w:rPr>
              <w:t>信息与通讯技术</w:t>
            </w:r>
          </w:p>
          <w:p>
            <w:pPr>
              <w:pStyle w:val="12"/>
              <w:keepNext w:val="0"/>
              <w:keepLines w:val="0"/>
              <w:widowControl/>
              <w:suppressLineNumbers w:val="0"/>
            </w:pPr>
            <w:r>
              <w:rPr>
                <w:b/>
                <w:color w:val="FFFFFF"/>
                <w:sz w:val="24"/>
                <w:szCs w:val="24"/>
              </w:rPr>
              <w:t>专业群</w:t>
            </w: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计算机科学与技术</w:t>
            </w:r>
          </w:p>
        </w:tc>
        <w:tc>
          <w:tcPr>
            <w:tcW w:w="3123" w:type="dxa"/>
            <w:vMerge w:val="restart"/>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新一代信息技术</w:t>
            </w: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软件工程</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通信工程</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物联网工程</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数字媒体技术</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数据科学与大数据技术</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restart"/>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4"/>
                <w:szCs w:val="24"/>
              </w:rPr>
              <w:t>土木建筑工程专业群</w:t>
            </w: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建筑学</w:t>
            </w:r>
          </w:p>
        </w:tc>
        <w:tc>
          <w:tcPr>
            <w:tcW w:w="3123" w:type="dxa"/>
            <w:vMerge w:val="restart"/>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房地产业、市政建筑、环境建设</w:t>
            </w: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土木工程</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工程造价</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restart"/>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4"/>
                <w:szCs w:val="24"/>
              </w:rPr>
              <w:t>质量技术工程专业群</w:t>
            </w: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质量管理工程</w:t>
            </w:r>
          </w:p>
        </w:tc>
        <w:tc>
          <w:tcPr>
            <w:tcW w:w="3123" w:type="dxa"/>
            <w:vMerge w:val="restart"/>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装备制造、轻工食品</w:t>
            </w:r>
          </w:p>
        </w:tc>
      </w:tr>
      <w:tr>
        <w:tblPrEx>
          <w:shd w:val="clear" w:color="auto" w:fill="auto"/>
          <w:tblLayout w:type="fixed"/>
          <w:tblCellMar>
            <w:top w:w="0" w:type="dxa"/>
            <w:left w:w="0" w:type="dxa"/>
            <w:bottom w:w="0" w:type="dxa"/>
            <w:right w:w="0" w:type="dxa"/>
          </w:tblCellMar>
        </w:tblPrEx>
        <w:trPr>
          <w:trHeight w:val="4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食品质量与安全</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restart"/>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pStyle w:val="12"/>
              <w:keepNext w:val="0"/>
              <w:keepLines w:val="0"/>
              <w:widowControl/>
              <w:suppressLineNumbers w:val="0"/>
            </w:pPr>
            <w:r>
              <w:rPr>
                <w:b/>
                <w:color w:val="FFFFFF"/>
                <w:sz w:val="24"/>
                <w:szCs w:val="24"/>
              </w:rPr>
              <w:t>文化产业与城市经营管理专业群</w:t>
            </w: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工商管理</w:t>
            </w:r>
          </w:p>
        </w:tc>
        <w:tc>
          <w:tcPr>
            <w:tcW w:w="3123" w:type="dxa"/>
            <w:vMerge w:val="restart"/>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城市管理与文化产业、金融服务、商贸服务、</w:t>
            </w: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市场营销</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会计学</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财务管理</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工程审计</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经济与金融</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工艺美术</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E7E9ED"/>
            <w:tcMar>
              <w:left w:w="47" w:type="dxa"/>
              <w:right w:w="47" w:type="dxa"/>
            </w:tcMar>
            <w:vAlign w:val="center"/>
          </w:tcPr>
          <w:p>
            <w:pPr>
              <w:pStyle w:val="12"/>
              <w:keepNext w:val="0"/>
              <w:keepLines w:val="0"/>
              <w:widowControl/>
              <w:suppressLineNumbers w:val="0"/>
            </w:pPr>
            <w:r>
              <w:rPr>
                <w:color w:val="000000"/>
                <w:sz w:val="20"/>
                <w:szCs w:val="20"/>
              </w:rPr>
              <w:t>环境设计</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r>
        <w:tblPrEx>
          <w:shd w:val="clear" w:color="auto" w:fill="auto"/>
          <w:tblLayout w:type="fixed"/>
          <w:tblCellMar>
            <w:top w:w="0" w:type="dxa"/>
            <w:left w:w="0" w:type="dxa"/>
            <w:bottom w:w="0" w:type="dxa"/>
            <w:right w:w="0" w:type="dxa"/>
          </w:tblCellMar>
        </w:tblPrEx>
        <w:trPr>
          <w:trHeight w:val="300" w:hRule="atLeast"/>
          <w:tblCellSpacing w:w="0" w:type="dxa"/>
        </w:trPr>
        <w:tc>
          <w:tcPr>
            <w:tcW w:w="3018" w:type="dxa"/>
            <w:vMerge w:val="continue"/>
            <w:tcBorders>
              <w:top w:val="single" w:color="FFFFFF" w:sz="6" w:space="0"/>
              <w:left w:val="single" w:color="FFFFFF" w:sz="6" w:space="0"/>
              <w:bottom w:val="single" w:color="FFFFFF" w:sz="18" w:space="0"/>
              <w:right w:val="single" w:color="FFFFFF" w:sz="6" w:space="0"/>
            </w:tcBorders>
            <w:shd w:val="clear" w:color="auto" w:fill="5B9BD5"/>
            <w:tcMar>
              <w:left w:w="47" w:type="dxa"/>
              <w:right w:w="47" w:type="dxa"/>
            </w:tcMar>
            <w:vAlign w:val="center"/>
          </w:tcPr>
          <w:p>
            <w:pPr>
              <w:rPr>
                <w:rFonts w:hint="eastAsia" w:ascii="宋体"/>
                <w:sz w:val="24"/>
                <w:szCs w:val="24"/>
              </w:rPr>
            </w:pPr>
          </w:p>
        </w:tc>
        <w:tc>
          <w:tcPr>
            <w:tcW w:w="2700" w:type="dxa"/>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pStyle w:val="12"/>
              <w:keepNext w:val="0"/>
              <w:keepLines w:val="0"/>
              <w:widowControl/>
              <w:suppressLineNumbers w:val="0"/>
            </w:pPr>
            <w:r>
              <w:rPr>
                <w:color w:val="000000"/>
                <w:sz w:val="20"/>
                <w:szCs w:val="20"/>
              </w:rPr>
              <w:t>视觉传达设计</w:t>
            </w:r>
          </w:p>
        </w:tc>
        <w:tc>
          <w:tcPr>
            <w:tcW w:w="3123" w:type="dxa"/>
            <w:vMerge w:val="continue"/>
            <w:tcBorders>
              <w:top w:val="single" w:color="FFFFFF" w:sz="6" w:space="0"/>
              <w:left w:val="single" w:color="FFFFFF" w:sz="6" w:space="0"/>
              <w:bottom w:val="single" w:color="FFFFFF" w:sz="18" w:space="0"/>
              <w:right w:val="single" w:color="FFFFFF" w:sz="6" w:space="0"/>
            </w:tcBorders>
            <w:shd w:val="clear" w:color="auto" w:fill="CBD1D9"/>
            <w:tcMar>
              <w:left w:w="47" w:type="dxa"/>
              <w:right w:w="47" w:type="dxa"/>
            </w:tcMar>
            <w:vAlign w:val="center"/>
          </w:tcPr>
          <w:p>
            <w:pPr>
              <w:rPr>
                <w:rFonts w:hint="eastAsia" w:ascii="宋体"/>
                <w:sz w:val="24"/>
                <w:szCs w:val="24"/>
              </w:rPr>
            </w:pPr>
          </w:p>
        </w:tc>
      </w:tr>
    </w:tbl>
    <w:p>
      <w:pPr>
        <w:numPr>
          <w:ilvl w:val="0"/>
          <w:numId w:val="0"/>
        </w:num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应用型学科专业体系，建设特色鲜明，内涵建设成效显著。以城市轨道交通专业为引领的城市产业与公共服务工程学科专业特色领域，为南宁市轨道交通系统建设和管理输送了600余名专门人才，2014年完成了全国首例泰国18所大学26名轨道交通师资培训，受到了泰国教育部的高度肯定，学校成为中国首家为泰国培养高铁人才的高校。以质量管理工程专业为代表的质量技术工程学科专业特色领域也获得了国家质检总局的高度认可，由国家质检总局发展研究中心、南宁市人民政府、自治区质监局、自治区教育厅、自治区人社厅以及南宁学院合作共办的中国质量研究与教育基地（南宁基地）落户南宁学院。</w:t>
      </w:r>
    </w:p>
    <w:p>
      <w:pPr>
        <w:pStyle w:val="3"/>
        <w:jc w:val="left"/>
        <w:rPr>
          <w:rFonts w:hint="eastAsia" w:ascii="黑体" w:hAnsi="黑体" w:eastAsia="黑体" w:cstheme="majorBidi"/>
          <w:kern w:val="2"/>
          <w:sz w:val="28"/>
          <w:szCs w:val="28"/>
          <w:lang w:val="en-US" w:eastAsia="zh-CN"/>
        </w:rPr>
      </w:pPr>
      <w:bookmarkStart w:id="69" w:name="_Toc19812"/>
      <w:r>
        <w:rPr>
          <w:rFonts w:hint="eastAsia" w:ascii="黑体" w:hAnsi="黑体" w:eastAsia="黑体" w:cstheme="majorBidi"/>
          <w:kern w:val="2"/>
          <w:sz w:val="28"/>
          <w:szCs w:val="28"/>
          <w:lang w:val="en-US" w:eastAsia="zh-CN"/>
        </w:rPr>
        <w:t>（二）推进应用型课程和课堂改革，</w:t>
      </w:r>
      <w:bookmarkEnd w:id="69"/>
      <w:r>
        <w:rPr>
          <w:rFonts w:hint="eastAsia" w:ascii="黑体" w:hAnsi="黑体" w:eastAsia="黑体" w:cstheme="majorBidi"/>
          <w:kern w:val="2"/>
          <w:sz w:val="28"/>
          <w:szCs w:val="28"/>
          <w:lang w:val="en-US" w:eastAsia="zh-CN"/>
        </w:rPr>
        <w:t>着力提升教学质量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课程是人才培养的核心要素，抓住课程与课堂改革就抓住了应用型人才培养能力提升的核心。南宁学院高度重视应用型课程与课堂改革，长期邀请知名专家姜大源、曹勇安进校开展针对性指导和培训，以基于工作过程系统化的课程改革为主线，按照“工作任务教学化，教学任务工作化，工作过程系统化”的应用型课程建设原则和“真实职业环境、真学、真做、掌握真本领”的应用型课程建设导向，鼓励教师更新应用型课程建设观念，解构传统学科知识体系，重构工作过程导向的行动知识体系，构建与产业链、创新链发展同向同行同步同心的知识应用型课程体系，已立项79门应用型本科示范课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在课程改革的同时，学校按照“七转向”的统一部署，开展课堂改革：从以教为中心转向以学为中心，从知识课堂转向能力课堂，从灌输课堂转向互动课堂，从封闭课堂转向开放课堂，从旧教学模式转向新型教学模式，从单一手段转向</w:t>
      </w:r>
      <w:r>
        <w:rPr>
          <w:rFonts w:hint="eastAsia" w:ascii="宋体" w:hAnsi="宋体" w:eastAsia="宋体" w:cs="宋体"/>
          <w:sz w:val="24"/>
          <w:highlight w:val="none"/>
          <w:lang w:val="en-US" w:eastAsia="zh-CN"/>
        </w:rPr>
        <w:t>多维</w:t>
      </w:r>
      <w:r>
        <w:rPr>
          <w:rFonts w:hint="eastAsia" w:ascii="宋体" w:hAnsi="宋体" w:eastAsia="宋体" w:cs="宋体"/>
          <w:sz w:val="24"/>
          <w:lang w:val="en-US" w:eastAsia="zh-CN"/>
        </w:rPr>
        <w:t>先进技术手段，从单一评价转向多维发展性评价。在此基础上，学校围绕应用型课程改革与建设等主题编撰学习资料，征集主题论文，累计出版应用技术大学系列论文集五部，《应用技术大学学习资料》十部，推动学校课程改革与课堂革命向纵深发展。</w:t>
      </w:r>
    </w:p>
    <w:p>
      <w:pPr>
        <w:pStyle w:val="3"/>
        <w:jc w:val="left"/>
        <w:rPr>
          <w:rFonts w:hint="eastAsia" w:ascii="黑体" w:hAnsi="黑体" w:eastAsia="黑体" w:cstheme="majorBidi"/>
          <w:kern w:val="2"/>
          <w:sz w:val="28"/>
          <w:szCs w:val="28"/>
          <w:lang w:val="en-US" w:eastAsia="zh-CN"/>
        </w:rPr>
      </w:pPr>
      <w:bookmarkStart w:id="70" w:name="_Toc26852"/>
      <w:r>
        <w:rPr>
          <w:rFonts w:hint="eastAsia" w:ascii="黑体" w:hAnsi="黑体" w:eastAsia="黑体" w:cstheme="majorBidi"/>
          <w:kern w:val="2"/>
          <w:sz w:val="28"/>
          <w:szCs w:val="28"/>
          <w:lang w:val="en-US" w:eastAsia="zh-CN"/>
        </w:rPr>
        <w:t>（三）坚持产教融合校企合作开放式办学模式，找准应用型人才培养途径</w:t>
      </w:r>
      <w:bookmarkEnd w:id="7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产教融合、校企合作是应用型高校的本质，是地方高校提升人才培养质量的重要途径，南宁学院从“破解资源约束型高校资源欠缺的瓶颈”、“落实应用型人才培养流程与模式的本质要求”两大问题意识出发，基于利益共同体考虑，大兴产教融合，校企合作，形成了6种独具特色的校企合作办学模式：与学校办学主要出资人威宁投资集团有限公司合作形成的“互联互通”模式；与南宁轨道交通运营商南宁市轨道交通有限责任公司合作形成的“需求驱动”模式；与国内通讯、信息、人工智能产业领导者中兴通讯公司、高博教育集团、科大讯飞公司合作形成的“攀亲嫁接”模式；与广西质量管理最高机构广西质量技术监督局合作形成的“打通行业”模式；与驻厂入校的广东省建筑设计研究院合作形成的“厂校一体”模式；与广西</w:t>
      </w:r>
      <w:r>
        <w:rPr>
          <w:rFonts w:hint="eastAsia" w:ascii="宋体" w:hAnsi="宋体" w:eastAsia="宋体" w:cs="宋体"/>
          <w:sz w:val="24"/>
          <w:highlight w:val="none"/>
          <w:lang w:val="en-US" w:eastAsia="zh-CN"/>
        </w:rPr>
        <w:t>新桂商</w:t>
      </w:r>
      <w:r>
        <w:rPr>
          <w:rFonts w:hint="eastAsia" w:ascii="宋体" w:hAnsi="宋体" w:eastAsia="宋体" w:cs="宋体"/>
          <w:sz w:val="24"/>
          <w:lang w:val="en-US" w:eastAsia="zh-CN"/>
        </w:rPr>
        <w:t>群体企业合作形成的“就业创业贯穿”模式。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通过基于利益共同体的产教融合、校企合作，学校获得了近6000万元的企业办学资金投入，极大缓解了民办高校办学经费的不足；获批了首个省部级创新平台——“教育部-中兴ICT产教融合创新基地”；聘请了一批行业、企业“双师型”教师队伍，使学生及时接受到行业最前沿的学科专业知识，真正实现应用型人才培养规格与岗位需求无缝对接，比较有效地解决了教育供给侧与产业需求侧不匹配的老大难问题。</w:t>
      </w:r>
    </w:p>
    <w:p>
      <w:pPr>
        <w:pStyle w:val="3"/>
        <w:jc w:val="left"/>
        <w:rPr>
          <w:rFonts w:hint="eastAsia" w:ascii="黑体" w:hAnsi="黑体" w:eastAsia="黑体" w:cstheme="majorBidi"/>
          <w:kern w:val="2"/>
          <w:sz w:val="28"/>
          <w:szCs w:val="28"/>
          <w:lang w:val="en-US" w:eastAsia="zh-CN"/>
        </w:rPr>
      </w:pPr>
      <w:bookmarkStart w:id="71" w:name="_Toc14505"/>
      <w:r>
        <w:rPr>
          <w:rFonts w:hint="eastAsia" w:ascii="黑体" w:hAnsi="黑体" w:eastAsia="黑体" w:cstheme="majorBidi"/>
          <w:kern w:val="2"/>
          <w:sz w:val="28"/>
          <w:szCs w:val="28"/>
          <w:lang w:val="en-US" w:eastAsia="zh-CN"/>
        </w:rPr>
        <w:t>（四）推进创新创业教育改革，开创应用技术大学建设新体验</w:t>
      </w:r>
      <w:bookmarkEnd w:id="7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南宁学院将创新创业教育改革视为高等教育供给侧结构性改革的重要组成部分，高度重视创新创业教育。学校将“创业有能力”写进应用型人才培养目标，出台了《南宁学院关于深化大学生创新创业教育改革的实施意见》,成立了独立的创新创业学院，目前基本实现在校生创新创业教育全覆盖；培育有一支86名具有国家创业导师资格的创新创业导师队伍，其中2人入选教育部全国万名优秀创新创业导师库；两千余平方的大学生创业园成为整合产业资源的平台，吸引了区内外优秀企业入驻，为大学生创新创业保驾护航。目前已获得教育厅“广西大学生创业示范基地”、团区委“广西青年创业创新孵化基地”、北京海淀区人力资源中心“中关村人才创客空间”、广西电台“创客厅南院创客基地”等称号；学校创新创业氛围浓厚，学生实践动手能力大大增强。仅2017年，南宁学院学生获国家级学科竞赛奖励、省部级学科竞赛奖励、国家级创新活动技能竞赛奖励、省部级创新活动技能竞赛奖励四项活动的奖励数量是1302项。前四届中国“互联网+”大学生创新创业大赛，每年报名“互联网+”大赛的真项目超过2000项，居全国前列，累计获得国家铜奖6个，自治区金奖10个，银奖13个，铜奖54个，学校连续四年获得优秀组织奖。2018年，南宁学院与美国斯坦福大学共建“斯坦福--南宁学院创新创业导师课程实验中心”，引进世界最先进的创新创业教育课程资源深化学校的创新创业教育改革。</w:t>
      </w:r>
    </w:p>
    <w:p>
      <w:pPr>
        <w:pStyle w:val="3"/>
        <w:jc w:val="left"/>
        <w:rPr>
          <w:rFonts w:hint="eastAsia" w:ascii="黑体" w:hAnsi="黑体" w:eastAsia="黑体" w:cstheme="majorBidi"/>
          <w:kern w:val="2"/>
          <w:sz w:val="28"/>
          <w:szCs w:val="28"/>
          <w:lang w:val="en-US" w:eastAsia="zh-CN"/>
        </w:rPr>
      </w:pPr>
      <w:bookmarkStart w:id="72" w:name="_Toc11964"/>
      <w:r>
        <w:rPr>
          <w:rFonts w:hint="eastAsia" w:ascii="黑体" w:hAnsi="黑体" w:eastAsia="黑体" w:cstheme="majorBidi"/>
          <w:kern w:val="2"/>
          <w:sz w:val="28"/>
          <w:szCs w:val="28"/>
          <w:lang w:val="en-US" w:eastAsia="zh-CN"/>
        </w:rPr>
        <w:t>（五）创新民办高校治理体系，释放办学新活力</w:t>
      </w:r>
      <w:bookmarkEnd w:id="72"/>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南宁学院从应用型高校的基本办学定位出发，在原来民革广西区委为学校举办者的基础上，着力引进南宁市国有企业威宁集团、广西区质监局、中兴通讯公司、高博教育集团、科大讯飞公司等参与投资办学，形成了以南宁市政府为主要投资者，民革广西区委、广西区质监局、中兴通讯、高博教育集团、科大讯飞等多方联合协同办学的多元混合所有制办学体制机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目前，学校正在朝着应用型高校治理体系推进改革，学校的学术治理体系，从传统高校的教授治学，发展为应用型高校与企业、行业、社会合作治学。学校的行政管理体系，引进国家高校管理改革试点高校西安欧亚学院的模式，打造一套集发展愿景、管控体系、流程体系、绩效管理于一身的先进管理制度。学校的基层组织管理也逐渐引入社会力量，形成合作治理二级学院的新机制。</w:t>
      </w:r>
    </w:p>
    <w:p>
      <w:pPr>
        <w:pStyle w:val="2"/>
        <w:numPr>
          <w:numId w:val="0"/>
        </w:numPr>
        <w:jc w:val="left"/>
        <w:rPr>
          <w:rFonts w:hint="eastAsia" w:ascii="黑体" w:hAnsi="黑体" w:eastAsia="黑体"/>
          <w:sz w:val="30"/>
          <w:szCs w:val="30"/>
        </w:rPr>
      </w:pPr>
      <w:bookmarkStart w:id="73" w:name="_Toc30674"/>
      <w:r>
        <w:rPr>
          <w:rFonts w:hint="eastAsia" w:ascii="黑体" w:hAnsi="黑体" w:eastAsia="黑体"/>
          <w:sz w:val="30"/>
          <w:szCs w:val="30"/>
          <w:lang w:val="en-US" w:eastAsia="zh-CN"/>
        </w:rPr>
        <w:t>八、</w:t>
      </w:r>
      <w:r>
        <w:rPr>
          <w:rFonts w:hint="eastAsia" w:ascii="黑体" w:hAnsi="黑体" w:eastAsia="黑体"/>
          <w:sz w:val="30"/>
          <w:szCs w:val="30"/>
        </w:rPr>
        <w:t>存在问题及改进计划</w:t>
      </w:r>
      <w:bookmarkEnd w:id="7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总结分析我校2017-2018学年的本科教育教学工作，仍存在一些问题与不足，需要及时解决和加以改进，主要体现在：</w:t>
      </w:r>
    </w:p>
    <w:p>
      <w:pPr>
        <w:pStyle w:val="3"/>
        <w:jc w:val="left"/>
        <w:rPr>
          <w:rFonts w:hint="eastAsia" w:ascii="黑体" w:hAnsi="黑体" w:eastAsia="黑体" w:cstheme="majorBidi"/>
          <w:kern w:val="2"/>
          <w:sz w:val="28"/>
          <w:szCs w:val="28"/>
          <w:lang w:val="en-US" w:eastAsia="zh-CN"/>
        </w:rPr>
      </w:pPr>
      <w:bookmarkStart w:id="74" w:name="_Toc18514"/>
      <w:r>
        <w:rPr>
          <w:rFonts w:hint="eastAsia" w:ascii="黑体" w:hAnsi="黑体" w:eastAsia="黑体" w:cstheme="majorBidi"/>
          <w:kern w:val="2"/>
          <w:sz w:val="28"/>
          <w:szCs w:val="28"/>
          <w:lang w:val="en-US" w:eastAsia="zh-CN"/>
        </w:rPr>
        <w:t>（一）继续加强应用型师资队伍建设</w:t>
      </w:r>
      <w:bookmarkEnd w:id="7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bookmarkStart w:id="75" w:name="_Toc2687"/>
      <w:r>
        <w:rPr>
          <w:rFonts w:hint="eastAsia" w:ascii="宋体" w:hAnsi="宋体" w:eastAsia="宋体" w:cs="宋体"/>
          <w:sz w:val="24"/>
          <w:lang w:val="en-US" w:eastAsia="zh-CN"/>
        </w:rPr>
        <w:t>师资结构亟待优化。主要体现在：一是部分热门专业和新专业教师数额不足，生师比偏高问题比较突出有会计学专业、计算机科学与技术等，专业教师数量偏少的专业有数字媒体技术、食品质量与安全、汽车服务工程、数据科学与大数据技术等。二是在年龄结构方面，青年教师占比偏大；三是在学历结构方面，博士学位占比偏低；四是在职结构方面，高级职称尤其是正高级职称占比少，特别是一些新兴专业，如计算机类专业的教授缺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高层次队伍建设需要进一步加强。目前，高层次人才、中青年学术骨干偏少，高水平的教学和科研团队偏少，团队影响力、核心竞争力不强。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青年教师的实践教学能力需要提高，部分青年教师缺少行业实践背景和行业工作经验，实践教学能力需要提高。以上这些问题与学校建设高水平应用型大学的要求还存在着较大差距。</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学校将从以下措施进行改进：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加大教师的引进力度，进一步优化教师结构，同时适当降低部分师资力量薄弱的新建专业和热门专业招生规模。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szCs w:val="22"/>
        </w:rPr>
      </w:pPr>
      <w:r>
        <w:rPr>
          <w:rFonts w:hint="eastAsia" w:ascii="宋体" w:hAnsi="宋体" w:eastAsia="宋体" w:cs="宋体"/>
          <w:sz w:val="24"/>
          <w:lang w:val="en-US" w:eastAsia="zh-CN"/>
        </w:rPr>
        <w:t>优化教师的层次。一是聘请有高水准、影响力大的国内知名教授、企业家组成专家顾问团队，引导和指导应用型教育理念的贯彻执行。二是聘请由区内知名教授和行业专家担任学科、专业带头人，提升师资队伍的核心力量和影响力。三是加大教师的企业挂职锻炼支持力度，新建一批长期稳定的教师实践基地，拓展在教师培训和产学研合作方面的功能。要求新入职的无行业背景或工程背景的专业课教师，三年内要求90%以上的专业课教师至少进行过一轮不低于三个月的企业挂职锻炼，并把本项制度的执行列入学校、学院、个人绩效考核范畴，以推动教师快速提升实践能力。</w:t>
      </w:r>
    </w:p>
    <w:p>
      <w:pPr>
        <w:pStyle w:val="3"/>
        <w:jc w:val="left"/>
        <w:rPr>
          <w:rFonts w:hint="eastAsia"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eastAsia="zh-CN"/>
        </w:rPr>
        <w:t>二</w:t>
      </w:r>
      <w:r>
        <w:rPr>
          <w:rFonts w:hint="eastAsia" w:ascii="黑体" w:hAnsi="黑体" w:eastAsia="黑体"/>
          <w:sz w:val="28"/>
          <w:szCs w:val="28"/>
        </w:rPr>
        <w:t>）</w:t>
      </w:r>
      <w:r>
        <w:rPr>
          <w:rFonts w:hint="eastAsia" w:ascii="黑体" w:hAnsi="黑体" w:eastAsia="黑体"/>
          <w:sz w:val="28"/>
          <w:szCs w:val="28"/>
          <w:lang w:eastAsia="zh-CN"/>
        </w:rPr>
        <w:t>继续</w:t>
      </w:r>
      <w:r>
        <w:rPr>
          <w:rFonts w:hint="eastAsia" w:ascii="黑体" w:hAnsi="黑体" w:eastAsia="黑体"/>
          <w:sz w:val="28"/>
          <w:szCs w:val="28"/>
        </w:rPr>
        <w:t>优化应用型人才培养顶层设计</w:t>
      </w:r>
      <w:bookmarkEnd w:id="75"/>
    </w:p>
    <w:p>
      <w:pPr>
        <w:ind w:firstLine="480" w:firstLineChars="200"/>
        <w:jc w:val="left"/>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学校顶层设计在中层干部中得到了有效贯彻，但距离学校有想法、二级学院有办法、教师有做法的要求还有一定的距离。为此，学校需加强顶层设计自上而下的贯通，推进学校“应用型、开放式、新体验”的办学理念和“做人有品格、就业有本领、创业有能力、深造有基础、发展有后劲”的人才培养定位的有效落地。围绕立德树人的根本任务，以提高应用型人才培养质量为核心，以协同育人机制为基础，以推进创新创业教育为突破口，以人才培养模式改革为重点，以优化实践教学体系为关键，以质量保障体系建设为保障，继续深化应用技术大学建设，以更好地满足地方经济社会发展对应用型人才的需要。</w:t>
      </w:r>
    </w:p>
    <w:p>
      <w:pPr>
        <w:pStyle w:val="3"/>
        <w:jc w:val="left"/>
        <w:rPr>
          <w:rFonts w:ascii="黑体" w:hAnsi="黑体" w:eastAsia="黑体"/>
          <w:sz w:val="28"/>
          <w:szCs w:val="28"/>
        </w:rPr>
      </w:pPr>
      <w:bookmarkStart w:id="76" w:name="_Toc17441"/>
      <w:r>
        <w:rPr>
          <w:rFonts w:hint="eastAsia" w:ascii="黑体" w:hAnsi="黑体" w:eastAsia="黑体"/>
          <w:sz w:val="28"/>
          <w:szCs w:val="28"/>
        </w:rPr>
        <w:t>（</w:t>
      </w:r>
      <w:r>
        <w:rPr>
          <w:rFonts w:hint="eastAsia" w:ascii="黑体" w:hAnsi="黑体" w:eastAsia="黑体"/>
          <w:sz w:val="28"/>
          <w:szCs w:val="28"/>
          <w:lang w:eastAsia="zh-CN"/>
        </w:rPr>
        <w:t>三</w:t>
      </w:r>
      <w:r>
        <w:rPr>
          <w:rFonts w:hint="eastAsia" w:ascii="黑体" w:hAnsi="黑体" w:eastAsia="黑体"/>
          <w:sz w:val="28"/>
          <w:szCs w:val="28"/>
        </w:rPr>
        <w:t>）</w:t>
      </w:r>
      <w:r>
        <w:rPr>
          <w:rFonts w:hint="eastAsia" w:ascii="黑体" w:hAnsi="黑体" w:eastAsia="黑体"/>
          <w:sz w:val="28"/>
          <w:szCs w:val="28"/>
          <w:lang w:eastAsia="zh-CN"/>
        </w:rPr>
        <w:t>继续加大</w:t>
      </w:r>
      <w:r>
        <w:rPr>
          <w:rFonts w:hint="eastAsia" w:ascii="黑体" w:hAnsi="黑体" w:eastAsia="黑体"/>
          <w:sz w:val="28"/>
          <w:szCs w:val="28"/>
        </w:rPr>
        <w:t>教学改革深度广度</w:t>
      </w:r>
      <w:bookmarkEnd w:id="76"/>
    </w:p>
    <w:p>
      <w:pPr>
        <w:ind w:firstLine="480" w:firstLineChars="200"/>
        <w:jc w:val="left"/>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学校在应用型办学探索与实践上取得了一定的成绩，但在应用办学行为落地的关键环节仍需努力。学校要全面推进以质量为先导的教学改革，巩固“工作以教学为中心、教学以学生发展为中心、发展以质量为中心”的办学思想，以教学改革促进理念更新，以理念革新带动教学改革向内涵发展。重点立项支持基于工作过程系统化、CDIO理念的课程建设、教学信息化建设、教学资源协同化等符合学校实际、具有学校特色的教学研究与教学实践，为学生自主学习，主动学习创造条件。</w:t>
      </w:r>
    </w:p>
    <w:p>
      <w:pPr>
        <w:ind w:firstLine="480" w:firstLineChars="200"/>
        <w:jc w:val="left"/>
        <w:rPr>
          <w:rFonts w:hint="eastAsia" w:ascii="宋体" w:hAnsi="宋体" w:eastAsia="宋体"/>
          <w:sz w:val="24"/>
          <w:szCs w:val="24"/>
          <w:u w:val="none"/>
          <w:lang w:val="en-US" w:eastAsia="zh-CN"/>
        </w:rPr>
      </w:pPr>
    </w:p>
    <w:p>
      <w:pPr>
        <w:pStyle w:val="2"/>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sz w:val="30"/>
          <w:szCs w:val="30"/>
        </w:rPr>
        <w:sectPr>
          <w:footerReference r:id="rId6" w:type="default"/>
          <w:pgSz w:w="11910" w:h="16840"/>
          <w:pgMar w:top="1400" w:right="1000" w:bottom="1160" w:left="1260" w:header="0" w:footer="964" w:gutter="0"/>
          <w:pgBorders>
            <w:top w:val="none" w:sz="0" w:space="0"/>
            <w:left w:val="none" w:sz="0" w:space="0"/>
            <w:bottom w:val="none" w:sz="0" w:space="0"/>
            <w:right w:val="none" w:sz="0" w:space="0"/>
          </w:pgBorders>
          <w:pgNumType w:fmt="decimal" w:start="1"/>
        </w:sectPr>
      </w:pPr>
    </w:p>
    <w:p>
      <w:pPr>
        <w:pStyle w:val="2"/>
        <w:pageBreakBefore w:val="0"/>
        <w:widowControl w:val="0"/>
        <w:kinsoku/>
        <w:wordWrap/>
        <w:overflowPunct/>
        <w:topLinePunct w:val="0"/>
        <w:autoSpaceDE/>
        <w:autoSpaceDN/>
        <w:bidi w:val="0"/>
        <w:adjustRightInd/>
        <w:snapToGrid/>
        <w:spacing w:line="240" w:lineRule="auto"/>
        <w:jc w:val="left"/>
        <w:textAlignment w:val="auto"/>
        <w:rPr>
          <w:rFonts w:hint="eastAsia" w:eastAsia="黑体"/>
          <w:lang w:val="en-US" w:eastAsia="zh-CN"/>
        </w:rPr>
      </w:pPr>
      <w:bookmarkStart w:id="77" w:name="_Toc1327"/>
      <w:r>
        <w:rPr>
          <w:rFonts w:hint="eastAsia" w:ascii="黑体" w:hAnsi="黑体" w:eastAsia="黑体"/>
          <w:sz w:val="30"/>
          <w:szCs w:val="30"/>
        </w:rPr>
        <w:t>附件</w:t>
      </w:r>
      <w:r>
        <w:rPr>
          <w:rFonts w:hint="eastAsia" w:ascii="黑体" w:hAnsi="黑体" w:eastAsia="黑体"/>
          <w:sz w:val="30"/>
          <w:szCs w:val="30"/>
          <w:lang w:val="en-US" w:eastAsia="zh-CN"/>
        </w:rPr>
        <w:t>1：</w:t>
      </w:r>
      <w:bookmarkEnd w:id="77"/>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28"/>
        </w:rPr>
      </w:pPr>
      <w:bookmarkStart w:id="78" w:name="_Toc4796"/>
      <w:bookmarkStart w:id="79" w:name="_Toc29707"/>
      <w:bookmarkStart w:id="80" w:name="_Toc27859"/>
      <w:r>
        <w:rPr>
          <w:rFonts w:hint="eastAsia"/>
          <w:sz w:val="28"/>
          <w:szCs w:val="28"/>
        </w:rPr>
        <w:t>南宁学院201</w:t>
      </w:r>
      <w:r>
        <w:rPr>
          <w:rFonts w:hint="eastAsia"/>
          <w:sz w:val="28"/>
          <w:szCs w:val="28"/>
          <w:lang w:val="en-US" w:eastAsia="zh-CN"/>
        </w:rPr>
        <w:t>7</w:t>
      </w:r>
      <w:r>
        <w:rPr>
          <w:rFonts w:hint="eastAsia"/>
          <w:sz w:val="28"/>
          <w:szCs w:val="28"/>
        </w:rPr>
        <w:t>-201</w:t>
      </w:r>
      <w:r>
        <w:rPr>
          <w:rFonts w:hint="eastAsia"/>
          <w:sz w:val="28"/>
          <w:szCs w:val="28"/>
          <w:lang w:val="en-US" w:eastAsia="zh-CN"/>
        </w:rPr>
        <w:t>8</w:t>
      </w:r>
      <w:r>
        <w:rPr>
          <w:rFonts w:hint="eastAsia"/>
          <w:sz w:val="28"/>
          <w:szCs w:val="28"/>
        </w:rPr>
        <w:t>学年本科教学质量报告支撑数据</w:t>
      </w:r>
      <w:bookmarkEnd w:id="78"/>
      <w:bookmarkEnd w:id="79"/>
      <w:bookmarkEnd w:id="80"/>
    </w:p>
    <w:tbl>
      <w:tblPr>
        <w:tblStyle w:val="14"/>
        <w:tblW w:w="8877" w:type="dxa"/>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4168"/>
        <w:gridCol w:w="1645"/>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513" w:type="dxa"/>
          </w:tcPr>
          <w:p>
            <w:pPr>
              <w:pStyle w:val="22"/>
              <w:spacing w:line="253" w:lineRule="exact"/>
              <w:ind w:left="15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序</w:t>
            </w:r>
          </w:p>
          <w:p>
            <w:pPr>
              <w:pStyle w:val="22"/>
              <w:spacing w:before="4" w:line="268" w:lineRule="exact"/>
              <w:ind w:left="15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号</w:t>
            </w:r>
          </w:p>
        </w:tc>
        <w:tc>
          <w:tcPr>
            <w:tcW w:w="4168" w:type="dxa"/>
          </w:tcPr>
          <w:p>
            <w:pPr>
              <w:pStyle w:val="22"/>
              <w:spacing w:before="120"/>
              <w:ind w:left="1642" w:right="163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1645" w:type="dxa"/>
          </w:tcPr>
          <w:p>
            <w:pPr>
              <w:pStyle w:val="22"/>
              <w:spacing w:before="120"/>
              <w:ind w:left="590" w:right="5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w:t>
            </w:r>
          </w:p>
        </w:tc>
        <w:tc>
          <w:tcPr>
            <w:tcW w:w="2551" w:type="dxa"/>
          </w:tcPr>
          <w:p>
            <w:pPr>
              <w:pStyle w:val="22"/>
              <w:spacing w:before="120"/>
              <w:ind w:left="1042" w:right="103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trPr>
        <w:tc>
          <w:tcPr>
            <w:tcW w:w="513" w:type="dxa"/>
          </w:tcPr>
          <w:p>
            <w:pPr>
              <w:pStyle w:val="22"/>
              <w:spacing w:before="67"/>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1</w:t>
            </w:r>
          </w:p>
        </w:tc>
        <w:tc>
          <w:tcPr>
            <w:tcW w:w="4168" w:type="dxa"/>
          </w:tcPr>
          <w:p>
            <w:pPr>
              <w:pStyle w:val="22"/>
              <w:spacing w:before="67"/>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本科生占全日制在校生总数的比例</w:t>
            </w:r>
          </w:p>
        </w:tc>
        <w:tc>
          <w:tcPr>
            <w:tcW w:w="1645" w:type="dxa"/>
          </w:tcPr>
          <w:p>
            <w:pPr>
              <w:pStyle w:val="22"/>
              <w:spacing w:before="67"/>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w:t>
            </w:r>
            <w:r>
              <w:rPr>
                <w:rFonts w:hint="eastAsia" w:asciiTheme="minorEastAsia" w:hAnsiTheme="minorEastAsia" w:eastAsiaTheme="minorEastAsia" w:cstheme="minorEastAsia"/>
                <w:sz w:val="21"/>
                <w:szCs w:val="21"/>
                <w:lang w:val="en-US" w:eastAsia="zh-CN"/>
              </w:rPr>
              <w:t>42</w:t>
            </w:r>
            <w:r>
              <w:rPr>
                <w:rFonts w:hint="eastAsia" w:asciiTheme="minorEastAsia" w:hAnsiTheme="minorEastAsia" w:eastAsiaTheme="minorEastAsia" w:cstheme="minorEastAsia"/>
                <w:sz w:val="21"/>
                <w:szCs w:val="21"/>
              </w:rPr>
              <w:t>%</w:t>
            </w:r>
          </w:p>
        </w:tc>
        <w:tc>
          <w:tcPr>
            <w:tcW w:w="2551" w:type="dxa"/>
            <w:vAlign w:val="center"/>
          </w:tcPr>
          <w:p>
            <w:pPr>
              <w:pStyle w:val="22"/>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见附件表</w:t>
            </w:r>
            <w:r>
              <w:rPr>
                <w:rFonts w:hint="eastAsia" w:asciiTheme="minorEastAsia" w:hAnsiTheme="minorEastAsia" w:eastAsiaTheme="minorEastAsia" w:cstheme="minorEastAsia"/>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513" w:type="dxa"/>
          </w:tcPr>
          <w:p>
            <w:pPr>
              <w:pStyle w:val="22"/>
              <w:spacing w:before="55"/>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2</w:t>
            </w:r>
          </w:p>
        </w:tc>
        <w:tc>
          <w:tcPr>
            <w:tcW w:w="4168" w:type="dxa"/>
          </w:tcPr>
          <w:p>
            <w:pPr>
              <w:pStyle w:val="22"/>
              <w:spacing w:before="55"/>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教师数量及结构</w:t>
            </w:r>
          </w:p>
        </w:tc>
        <w:tc>
          <w:tcPr>
            <w:tcW w:w="1645" w:type="dxa"/>
          </w:tcPr>
          <w:p>
            <w:pPr>
              <w:pStyle w:val="22"/>
              <w:rPr>
                <w:rFonts w:hint="eastAsia" w:asciiTheme="minorEastAsia" w:hAnsiTheme="minorEastAsia" w:eastAsiaTheme="minorEastAsia" w:cstheme="minorEastAsia"/>
                <w:sz w:val="21"/>
                <w:szCs w:val="21"/>
              </w:rPr>
            </w:pPr>
          </w:p>
        </w:tc>
        <w:tc>
          <w:tcPr>
            <w:tcW w:w="2551" w:type="dxa"/>
            <w:vAlign w:val="center"/>
          </w:tcPr>
          <w:p>
            <w:pPr>
              <w:pStyle w:val="22"/>
              <w:spacing w:before="5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见附件表</w:t>
            </w:r>
            <w:r>
              <w:rPr>
                <w:rFonts w:hint="eastAsia" w:asciiTheme="minorEastAsia" w:hAnsiTheme="minorEastAsia" w:eastAsiaTheme="minorEastAsia" w:cs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513" w:type="dxa"/>
          </w:tcPr>
          <w:p>
            <w:pPr>
              <w:pStyle w:val="22"/>
              <w:spacing w:before="52"/>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3</w:t>
            </w:r>
          </w:p>
        </w:tc>
        <w:tc>
          <w:tcPr>
            <w:tcW w:w="4168" w:type="dxa"/>
          </w:tcPr>
          <w:p>
            <w:pPr>
              <w:pStyle w:val="22"/>
              <w:spacing w:before="52"/>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专业设置情况</w:t>
            </w:r>
          </w:p>
        </w:tc>
        <w:tc>
          <w:tcPr>
            <w:tcW w:w="1645" w:type="dxa"/>
          </w:tcPr>
          <w:p>
            <w:pPr>
              <w:pStyle w:val="22"/>
              <w:rPr>
                <w:rFonts w:hint="eastAsia" w:asciiTheme="minorEastAsia" w:hAnsiTheme="minorEastAsia" w:eastAsiaTheme="minorEastAsia" w:cstheme="minorEastAsia"/>
                <w:sz w:val="21"/>
                <w:szCs w:val="21"/>
              </w:rPr>
            </w:pPr>
          </w:p>
        </w:tc>
        <w:tc>
          <w:tcPr>
            <w:tcW w:w="2551" w:type="dxa"/>
            <w:vAlign w:val="center"/>
          </w:tcPr>
          <w:p>
            <w:pPr>
              <w:pStyle w:val="22"/>
              <w:spacing w:before="52"/>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见附表 </w:t>
            </w:r>
            <w:r>
              <w:rPr>
                <w:rFonts w:hint="eastAsia" w:asciiTheme="minorEastAsia" w:hAnsiTheme="minorEastAsia" w:eastAsiaTheme="minorEastAsia" w:cs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13" w:type="dxa"/>
          </w:tcPr>
          <w:p>
            <w:pPr>
              <w:pStyle w:val="22"/>
              <w:spacing w:before="42"/>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4</w:t>
            </w:r>
          </w:p>
        </w:tc>
        <w:tc>
          <w:tcPr>
            <w:tcW w:w="4168" w:type="dxa"/>
          </w:tcPr>
          <w:p>
            <w:pPr>
              <w:pStyle w:val="22"/>
              <w:spacing w:before="42"/>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生师比</w:t>
            </w:r>
          </w:p>
        </w:tc>
        <w:tc>
          <w:tcPr>
            <w:tcW w:w="1645" w:type="dxa"/>
          </w:tcPr>
          <w:p>
            <w:pPr>
              <w:pStyle w:val="22"/>
              <w:spacing w:before="42"/>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53</w:t>
            </w:r>
            <w:r>
              <w:rPr>
                <w:rFonts w:hint="eastAsia" w:asciiTheme="minorEastAsia" w:hAnsiTheme="minorEastAsia" w:eastAsiaTheme="minorEastAsia" w:cstheme="minorEastAsia"/>
                <w:sz w:val="21"/>
                <w:szCs w:val="21"/>
              </w:rPr>
              <w:t>:1</w:t>
            </w:r>
          </w:p>
        </w:tc>
        <w:tc>
          <w:tcPr>
            <w:tcW w:w="2551" w:type="dxa"/>
            <w:vAlign w:val="center"/>
          </w:tcPr>
          <w:p>
            <w:pPr>
              <w:pStyle w:val="22"/>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513" w:type="dxa"/>
          </w:tcPr>
          <w:p>
            <w:pPr>
              <w:pStyle w:val="22"/>
              <w:spacing w:before="90"/>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5</w:t>
            </w:r>
          </w:p>
        </w:tc>
        <w:tc>
          <w:tcPr>
            <w:tcW w:w="4168" w:type="dxa"/>
          </w:tcPr>
          <w:p>
            <w:pPr>
              <w:pStyle w:val="22"/>
              <w:spacing w:before="90"/>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生均教学科研仪器设备值（万元）</w:t>
            </w:r>
          </w:p>
        </w:tc>
        <w:tc>
          <w:tcPr>
            <w:tcW w:w="1645" w:type="dxa"/>
          </w:tcPr>
          <w:p>
            <w:pPr>
              <w:pStyle w:val="22"/>
              <w:spacing w:before="90"/>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7651.39</w:t>
            </w:r>
          </w:p>
        </w:tc>
        <w:tc>
          <w:tcPr>
            <w:tcW w:w="2551" w:type="dxa"/>
            <w:vAlign w:val="center"/>
          </w:tcPr>
          <w:p>
            <w:pPr>
              <w:pStyle w:val="22"/>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见附表</w:t>
            </w:r>
            <w:r>
              <w:rPr>
                <w:rFonts w:hint="eastAsia" w:asciiTheme="minorEastAsia" w:hAnsiTheme="minorEastAsia" w:eastAsiaTheme="minorEastAsia" w:cstheme="minor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513" w:type="dxa"/>
          </w:tcPr>
          <w:p>
            <w:pPr>
              <w:pStyle w:val="22"/>
              <w:spacing w:before="55"/>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6</w:t>
            </w:r>
          </w:p>
        </w:tc>
        <w:tc>
          <w:tcPr>
            <w:tcW w:w="4168" w:type="dxa"/>
          </w:tcPr>
          <w:p>
            <w:pPr>
              <w:pStyle w:val="22"/>
              <w:spacing w:before="55"/>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当年新增教学科研仪器设备值（万元）</w:t>
            </w:r>
          </w:p>
        </w:tc>
        <w:tc>
          <w:tcPr>
            <w:tcW w:w="1645" w:type="dxa"/>
          </w:tcPr>
          <w:p>
            <w:pPr>
              <w:pStyle w:val="22"/>
              <w:spacing w:before="55"/>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1983.83</w:t>
            </w:r>
          </w:p>
        </w:tc>
        <w:tc>
          <w:tcPr>
            <w:tcW w:w="2551" w:type="dxa"/>
            <w:vAlign w:val="center"/>
          </w:tcPr>
          <w:p>
            <w:pPr>
              <w:pStyle w:val="2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见附表</w:t>
            </w:r>
            <w:r>
              <w:rPr>
                <w:rFonts w:hint="eastAsia" w:asciiTheme="minorEastAsia" w:hAnsiTheme="minorEastAsia" w:eastAsiaTheme="minorEastAsia" w:cstheme="minor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513" w:type="dxa"/>
          </w:tcPr>
          <w:p>
            <w:pPr>
              <w:pStyle w:val="22"/>
              <w:spacing w:before="53"/>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7</w:t>
            </w:r>
          </w:p>
        </w:tc>
        <w:tc>
          <w:tcPr>
            <w:tcW w:w="4168" w:type="dxa"/>
          </w:tcPr>
          <w:p>
            <w:pPr>
              <w:pStyle w:val="22"/>
              <w:spacing w:before="53"/>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生均图书（册）</w:t>
            </w:r>
          </w:p>
        </w:tc>
        <w:tc>
          <w:tcPr>
            <w:tcW w:w="1645" w:type="dxa"/>
          </w:tcPr>
          <w:p>
            <w:pPr>
              <w:pStyle w:val="22"/>
              <w:spacing w:before="53"/>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82.95</w:t>
            </w:r>
          </w:p>
        </w:tc>
        <w:tc>
          <w:tcPr>
            <w:tcW w:w="2551" w:type="dxa"/>
            <w:vAlign w:val="center"/>
          </w:tcPr>
          <w:p>
            <w:pPr>
              <w:pStyle w:val="22"/>
              <w:spacing w:before="53"/>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见附表</w:t>
            </w:r>
            <w:r>
              <w:rPr>
                <w:rFonts w:hint="eastAsia" w:asciiTheme="minorEastAsia" w:hAnsiTheme="minorEastAsia" w:eastAsiaTheme="minorEastAsia" w:cstheme="minorEastAsia"/>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513" w:type="dxa"/>
          </w:tcPr>
          <w:p>
            <w:pPr>
              <w:pStyle w:val="22"/>
              <w:spacing w:before="58"/>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9"/>
                <w:sz w:val="21"/>
                <w:szCs w:val="21"/>
              </w:rPr>
              <w:t>8</w:t>
            </w:r>
          </w:p>
        </w:tc>
        <w:tc>
          <w:tcPr>
            <w:tcW w:w="4168" w:type="dxa"/>
          </w:tcPr>
          <w:p>
            <w:pPr>
              <w:pStyle w:val="22"/>
              <w:spacing w:before="58"/>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电子图书、电子期刊种数</w:t>
            </w:r>
          </w:p>
        </w:tc>
        <w:tc>
          <w:tcPr>
            <w:tcW w:w="1645" w:type="dxa"/>
          </w:tcPr>
          <w:p>
            <w:pPr>
              <w:pStyle w:val="22"/>
              <w:spacing w:before="58"/>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956052</w:t>
            </w:r>
          </w:p>
        </w:tc>
        <w:tc>
          <w:tcPr>
            <w:tcW w:w="2551" w:type="dxa"/>
            <w:vAlign w:val="center"/>
          </w:tcPr>
          <w:p>
            <w:pPr>
              <w:pStyle w:val="22"/>
              <w:spacing w:before="58"/>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见附表</w:t>
            </w:r>
            <w:r>
              <w:rPr>
                <w:rFonts w:hint="eastAsia" w:asciiTheme="minorEastAsia" w:hAnsiTheme="minorEastAsia" w:eastAsiaTheme="minorEastAsia" w:cstheme="minorEastAsia"/>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513" w:type="dxa"/>
            <w:vMerge w:val="restart"/>
          </w:tcPr>
          <w:p>
            <w:pPr>
              <w:pStyle w:val="22"/>
              <w:spacing w:before="58"/>
              <w:ind w:left="108"/>
              <w:rPr>
                <w:rFonts w:hint="eastAsia" w:asciiTheme="minorEastAsia" w:hAnsiTheme="minorEastAsia" w:eastAsiaTheme="minorEastAsia" w:cstheme="minorEastAsia"/>
                <w:sz w:val="21"/>
                <w:szCs w:val="21"/>
              </w:rPr>
            </w:pPr>
          </w:p>
          <w:p>
            <w:pPr>
              <w:pStyle w:val="22"/>
              <w:spacing w:before="58"/>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4168" w:type="dxa"/>
          </w:tcPr>
          <w:p>
            <w:pPr>
              <w:pStyle w:val="22"/>
              <w:spacing w:before="58"/>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生均教学行政用房（M2）</w:t>
            </w:r>
          </w:p>
        </w:tc>
        <w:tc>
          <w:tcPr>
            <w:tcW w:w="1645" w:type="dxa"/>
          </w:tcPr>
          <w:p>
            <w:pPr>
              <w:pStyle w:val="22"/>
              <w:spacing w:before="58"/>
              <w:ind w:left="108"/>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16.06</w:t>
            </w:r>
          </w:p>
        </w:tc>
        <w:tc>
          <w:tcPr>
            <w:tcW w:w="2551" w:type="dxa"/>
            <w:vAlign w:val="center"/>
          </w:tcPr>
          <w:p>
            <w:pPr>
              <w:pStyle w:val="22"/>
              <w:spacing w:before="58"/>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见附表</w:t>
            </w:r>
            <w:r>
              <w:rPr>
                <w:rFonts w:hint="eastAsia" w:asciiTheme="minorEastAsia" w:hAnsiTheme="minorEastAsia" w:eastAsiaTheme="minorEastAsia" w:cstheme="minorEastAsia"/>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513" w:type="dxa"/>
            <w:vMerge w:val="continue"/>
            <w:tcBorders>
              <w:top w:val="nil"/>
            </w:tcBorders>
          </w:tcPr>
          <w:p>
            <w:pPr>
              <w:pStyle w:val="22"/>
              <w:spacing w:before="58"/>
              <w:ind w:left="108"/>
              <w:rPr>
                <w:rFonts w:hint="eastAsia" w:asciiTheme="minorEastAsia" w:hAnsiTheme="minorEastAsia" w:eastAsiaTheme="minorEastAsia" w:cstheme="minorEastAsia"/>
                <w:sz w:val="21"/>
                <w:szCs w:val="21"/>
              </w:rPr>
            </w:pPr>
          </w:p>
        </w:tc>
        <w:tc>
          <w:tcPr>
            <w:tcW w:w="4168" w:type="dxa"/>
          </w:tcPr>
          <w:p>
            <w:pPr>
              <w:pStyle w:val="22"/>
              <w:spacing w:before="58"/>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其中：生均实验室面积（M2）</w:t>
            </w:r>
          </w:p>
        </w:tc>
        <w:tc>
          <w:tcPr>
            <w:tcW w:w="1645" w:type="dxa"/>
          </w:tcPr>
          <w:p>
            <w:pPr>
              <w:pStyle w:val="22"/>
              <w:spacing w:before="58"/>
              <w:ind w:left="108"/>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551" w:type="dxa"/>
            <w:vAlign w:val="center"/>
          </w:tcPr>
          <w:p>
            <w:pPr>
              <w:pStyle w:val="22"/>
              <w:spacing w:before="58"/>
              <w:ind w:left="108"/>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513" w:type="dxa"/>
          </w:tcPr>
          <w:p>
            <w:pPr>
              <w:pStyle w:val="22"/>
              <w:spacing w:before="51"/>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4168" w:type="dxa"/>
          </w:tcPr>
          <w:p>
            <w:pPr>
              <w:pStyle w:val="22"/>
              <w:spacing w:before="51"/>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生均本科教学日常运行支出（元）</w:t>
            </w:r>
          </w:p>
        </w:tc>
        <w:tc>
          <w:tcPr>
            <w:tcW w:w="1645" w:type="dxa"/>
          </w:tcPr>
          <w:p>
            <w:pPr>
              <w:pStyle w:val="22"/>
              <w:spacing w:before="51"/>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1490.49</w:t>
            </w:r>
          </w:p>
        </w:tc>
        <w:tc>
          <w:tcPr>
            <w:tcW w:w="2551" w:type="dxa"/>
            <w:vAlign w:val="center"/>
          </w:tcPr>
          <w:p>
            <w:pPr>
              <w:pStyle w:val="22"/>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见附表</w:t>
            </w:r>
            <w:r>
              <w:rPr>
                <w:rFonts w:hint="eastAsia" w:asciiTheme="minorEastAsia" w:hAnsiTheme="minorEastAsia" w:eastAsiaTheme="minorEastAsia" w:cstheme="minorEastAsia"/>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513" w:type="dxa"/>
          </w:tcPr>
          <w:p>
            <w:pPr>
              <w:pStyle w:val="22"/>
              <w:spacing w:before="18"/>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4168" w:type="dxa"/>
          </w:tcPr>
          <w:p>
            <w:pPr>
              <w:pStyle w:val="22"/>
              <w:spacing w:before="18"/>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本科专项教学经费（万元）</w:t>
            </w:r>
          </w:p>
        </w:tc>
        <w:tc>
          <w:tcPr>
            <w:tcW w:w="1645" w:type="dxa"/>
          </w:tcPr>
          <w:p>
            <w:pPr>
              <w:pStyle w:val="22"/>
              <w:spacing w:before="18"/>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842.37</w:t>
            </w:r>
          </w:p>
        </w:tc>
        <w:tc>
          <w:tcPr>
            <w:tcW w:w="2551" w:type="dxa"/>
            <w:vAlign w:val="center"/>
          </w:tcPr>
          <w:p>
            <w:pPr>
              <w:pStyle w:val="22"/>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513" w:type="dxa"/>
          </w:tcPr>
          <w:p>
            <w:pPr>
              <w:pStyle w:val="22"/>
              <w:spacing w:before="40"/>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4168" w:type="dxa"/>
          </w:tcPr>
          <w:p>
            <w:pPr>
              <w:pStyle w:val="22"/>
              <w:spacing w:before="40"/>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生均本科实验经费（元）</w:t>
            </w:r>
          </w:p>
        </w:tc>
        <w:tc>
          <w:tcPr>
            <w:tcW w:w="1645" w:type="dxa"/>
          </w:tcPr>
          <w:p>
            <w:pPr>
              <w:pStyle w:val="22"/>
              <w:spacing w:before="40"/>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307.86</w:t>
            </w:r>
          </w:p>
        </w:tc>
        <w:tc>
          <w:tcPr>
            <w:tcW w:w="2551" w:type="dxa"/>
            <w:vAlign w:val="center"/>
          </w:tcPr>
          <w:p>
            <w:pPr>
              <w:pStyle w:val="22"/>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513" w:type="dxa"/>
          </w:tcPr>
          <w:p>
            <w:pPr>
              <w:pStyle w:val="22"/>
              <w:spacing w:before="50"/>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4168" w:type="dxa"/>
          </w:tcPr>
          <w:p>
            <w:pPr>
              <w:pStyle w:val="22"/>
              <w:spacing w:before="50"/>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生均本科实习经费（元）</w:t>
            </w:r>
          </w:p>
        </w:tc>
        <w:tc>
          <w:tcPr>
            <w:tcW w:w="1645" w:type="dxa"/>
          </w:tcPr>
          <w:p>
            <w:pPr>
              <w:pStyle w:val="22"/>
              <w:spacing w:before="50"/>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134.97</w:t>
            </w:r>
          </w:p>
        </w:tc>
        <w:tc>
          <w:tcPr>
            <w:tcW w:w="2551" w:type="dxa"/>
            <w:vAlign w:val="center"/>
          </w:tcPr>
          <w:p>
            <w:pPr>
              <w:pStyle w:val="22"/>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513" w:type="dxa"/>
          </w:tcPr>
          <w:p>
            <w:pPr>
              <w:pStyle w:val="22"/>
              <w:spacing w:before="54"/>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4168" w:type="dxa"/>
          </w:tcPr>
          <w:p>
            <w:pPr>
              <w:pStyle w:val="22"/>
              <w:spacing w:before="54"/>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全校开设课程</w:t>
            </w:r>
            <w:r>
              <w:rPr>
                <w:rFonts w:hint="eastAsia" w:asciiTheme="minorEastAsia" w:hAnsiTheme="minorEastAsia" w:eastAsiaTheme="minorEastAsia" w:cstheme="minorEastAsia"/>
                <w:sz w:val="21"/>
                <w:szCs w:val="21"/>
                <w:highlight w:val="none"/>
              </w:rPr>
              <w:t>总门数</w:t>
            </w:r>
          </w:p>
        </w:tc>
        <w:tc>
          <w:tcPr>
            <w:tcW w:w="1645" w:type="dxa"/>
          </w:tcPr>
          <w:p>
            <w:pPr>
              <w:pStyle w:val="22"/>
              <w:spacing w:before="51"/>
              <w:ind w:left="10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640</w:t>
            </w:r>
          </w:p>
        </w:tc>
        <w:tc>
          <w:tcPr>
            <w:tcW w:w="2551" w:type="dxa"/>
            <w:vAlign w:val="center"/>
          </w:tcPr>
          <w:p>
            <w:pPr>
              <w:pStyle w:val="22"/>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513" w:type="dxa"/>
          </w:tcPr>
          <w:p>
            <w:pPr>
              <w:pStyle w:val="22"/>
              <w:spacing w:before="65"/>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4168" w:type="dxa"/>
            <w:vAlign w:val="top"/>
          </w:tcPr>
          <w:p>
            <w:pPr>
              <w:pStyle w:val="22"/>
              <w:spacing w:before="45"/>
              <w:ind w:left="10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主讲本科课程的教授占教授总数的比例</w:t>
            </w:r>
          </w:p>
        </w:tc>
        <w:tc>
          <w:tcPr>
            <w:tcW w:w="1645" w:type="dxa"/>
            <w:vAlign w:val="top"/>
          </w:tcPr>
          <w:p>
            <w:pPr>
              <w:pStyle w:val="22"/>
              <w:spacing w:before="45"/>
              <w:ind w:left="10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42.42</w:t>
            </w:r>
            <w:r>
              <w:rPr>
                <w:rFonts w:hint="eastAsia" w:asciiTheme="minorEastAsia" w:hAnsiTheme="minorEastAsia" w:eastAsiaTheme="minorEastAsia" w:cstheme="minorEastAsia"/>
                <w:sz w:val="21"/>
                <w:szCs w:val="21"/>
              </w:rPr>
              <w:t>%</w:t>
            </w:r>
          </w:p>
        </w:tc>
        <w:tc>
          <w:tcPr>
            <w:tcW w:w="2551" w:type="dxa"/>
            <w:vAlign w:val="center"/>
          </w:tcPr>
          <w:p>
            <w:pPr>
              <w:pStyle w:val="22"/>
              <w:spacing w:before="4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513" w:type="dxa"/>
          </w:tcPr>
          <w:p>
            <w:pPr>
              <w:pStyle w:val="22"/>
              <w:spacing w:before="50"/>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4168" w:type="dxa"/>
            <w:vAlign w:val="top"/>
          </w:tcPr>
          <w:p>
            <w:pPr>
              <w:pStyle w:val="22"/>
              <w:spacing w:before="49"/>
              <w:ind w:left="10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教授讲授本科课程占课程总门次数的比例</w:t>
            </w:r>
          </w:p>
        </w:tc>
        <w:tc>
          <w:tcPr>
            <w:tcW w:w="1645" w:type="dxa"/>
            <w:vAlign w:val="top"/>
          </w:tcPr>
          <w:p>
            <w:pPr>
              <w:pStyle w:val="22"/>
              <w:spacing w:before="49"/>
              <w:ind w:left="10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4.22</w:t>
            </w:r>
            <w:r>
              <w:rPr>
                <w:rFonts w:hint="eastAsia" w:asciiTheme="minorEastAsia" w:hAnsiTheme="minorEastAsia" w:eastAsiaTheme="minorEastAsia" w:cstheme="minorEastAsia"/>
                <w:sz w:val="21"/>
                <w:szCs w:val="21"/>
              </w:rPr>
              <w:t>%</w:t>
            </w:r>
          </w:p>
        </w:tc>
        <w:tc>
          <w:tcPr>
            <w:tcW w:w="2551" w:type="dxa"/>
            <w:vAlign w:val="center"/>
          </w:tcPr>
          <w:p>
            <w:pPr>
              <w:pStyle w:val="22"/>
              <w:spacing w:before="5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见附表</w:t>
            </w:r>
            <w:r>
              <w:rPr>
                <w:rFonts w:hint="eastAsia" w:asciiTheme="minorEastAsia" w:hAnsiTheme="minorEastAsia" w:eastAsiaTheme="minorEastAsia" w:cstheme="minorEastAsia"/>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513" w:type="dxa"/>
          </w:tcPr>
          <w:p>
            <w:pPr>
              <w:pStyle w:val="22"/>
              <w:spacing w:before="45"/>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4168" w:type="dxa"/>
            <w:vAlign w:val="top"/>
          </w:tcPr>
          <w:p>
            <w:pPr>
              <w:pStyle w:val="22"/>
              <w:spacing w:before="60"/>
              <w:ind w:left="10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应届本科生毕业率</w:t>
            </w:r>
          </w:p>
        </w:tc>
        <w:tc>
          <w:tcPr>
            <w:tcW w:w="1645" w:type="dxa"/>
            <w:vAlign w:val="top"/>
          </w:tcPr>
          <w:p>
            <w:pPr>
              <w:pStyle w:val="22"/>
              <w:spacing w:before="60"/>
              <w:ind w:left="10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92.73</w:t>
            </w:r>
            <w:r>
              <w:rPr>
                <w:rFonts w:hint="eastAsia" w:asciiTheme="minorEastAsia" w:hAnsiTheme="minorEastAsia" w:eastAsiaTheme="minorEastAsia" w:cstheme="minorEastAsia"/>
                <w:sz w:val="21"/>
                <w:szCs w:val="21"/>
              </w:rPr>
              <w:t>%</w:t>
            </w:r>
          </w:p>
        </w:tc>
        <w:tc>
          <w:tcPr>
            <w:tcW w:w="2551" w:type="dxa"/>
            <w:vAlign w:val="center"/>
          </w:tcPr>
          <w:p>
            <w:pPr>
              <w:pStyle w:val="22"/>
              <w:spacing w:before="45"/>
              <w:ind w:left="108"/>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513" w:type="dxa"/>
          </w:tcPr>
          <w:p>
            <w:pPr>
              <w:pStyle w:val="22"/>
              <w:spacing w:before="49"/>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4168" w:type="dxa"/>
            <w:vAlign w:val="top"/>
          </w:tcPr>
          <w:p>
            <w:pPr>
              <w:pStyle w:val="22"/>
              <w:spacing w:before="56"/>
              <w:ind w:left="10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应届本科生学位授予率</w:t>
            </w:r>
          </w:p>
        </w:tc>
        <w:tc>
          <w:tcPr>
            <w:tcW w:w="1645" w:type="dxa"/>
            <w:vAlign w:val="top"/>
          </w:tcPr>
          <w:p>
            <w:pPr>
              <w:pStyle w:val="22"/>
              <w:spacing w:before="56"/>
              <w:ind w:left="10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99.88</w:t>
            </w:r>
            <w:r>
              <w:rPr>
                <w:rFonts w:hint="eastAsia" w:asciiTheme="minorEastAsia" w:hAnsiTheme="minorEastAsia" w:eastAsiaTheme="minorEastAsia" w:cstheme="minorEastAsia"/>
                <w:sz w:val="21"/>
                <w:szCs w:val="21"/>
              </w:rPr>
              <w:t>%</w:t>
            </w:r>
          </w:p>
        </w:tc>
        <w:tc>
          <w:tcPr>
            <w:tcW w:w="2551" w:type="dxa"/>
            <w:vAlign w:val="center"/>
          </w:tcPr>
          <w:p>
            <w:pPr>
              <w:pStyle w:val="22"/>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trPr>
        <w:tc>
          <w:tcPr>
            <w:tcW w:w="513" w:type="dxa"/>
          </w:tcPr>
          <w:p>
            <w:pPr>
              <w:pStyle w:val="22"/>
              <w:spacing w:before="60"/>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4168" w:type="dxa"/>
            <w:vAlign w:val="top"/>
          </w:tcPr>
          <w:p>
            <w:pPr>
              <w:pStyle w:val="22"/>
              <w:spacing w:before="50"/>
              <w:ind w:left="10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应届本科生初次就业率</w:t>
            </w:r>
          </w:p>
        </w:tc>
        <w:tc>
          <w:tcPr>
            <w:tcW w:w="1645" w:type="dxa"/>
            <w:vAlign w:val="top"/>
          </w:tcPr>
          <w:p>
            <w:pPr>
              <w:pStyle w:val="22"/>
              <w:spacing w:before="50"/>
              <w:ind w:left="10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94.83</w:t>
            </w:r>
            <w:r>
              <w:rPr>
                <w:rFonts w:hint="eastAsia" w:asciiTheme="minorEastAsia" w:hAnsiTheme="minorEastAsia" w:eastAsiaTheme="minorEastAsia" w:cstheme="minorEastAsia"/>
                <w:sz w:val="21"/>
                <w:szCs w:val="21"/>
              </w:rPr>
              <w:t>%</w:t>
            </w:r>
          </w:p>
        </w:tc>
        <w:tc>
          <w:tcPr>
            <w:tcW w:w="2551" w:type="dxa"/>
            <w:vAlign w:val="center"/>
          </w:tcPr>
          <w:p>
            <w:pPr>
              <w:pStyle w:val="22"/>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见附表</w:t>
            </w:r>
            <w:r>
              <w:rPr>
                <w:rFonts w:hint="eastAsia" w:asciiTheme="minorEastAsia" w:hAnsiTheme="minorEastAsia" w:eastAsiaTheme="minorEastAsia" w:cstheme="minorEastAsia"/>
                <w:sz w:val="21"/>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513" w:type="dxa"/>
          </w:tcPr>
          <w:p>
            <w:pPr>
              <w:pStyle w:val="22"/>
              <w:spacing w:before="56"/>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4168" w:type="dxa"/>
            <w:vAlign w:val="top"/>
          </w:tcPr>
          <w:p>
            <w:pPr>
              <w:pStyle w:val="22"/>
              <w:spacing w:before="54"/>
              <w:ind w:left="10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体质测试达标率</w:t>
            </w:r>
          </w:p>
        </w:tc>
        <w:tc>
          <w:tcPr>
            <w:tcW w:w="1645" w:type="dxa"/>
            <w:vAlign w:val="top"/>
          </w:tcPr>
          <w:p>
            <w:pPr>
              <w:pStyle w:val="22"/>
              <w:spacing w:before="54"/>
              <w:ind w:left="10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93.20</w:t>
            </w:r>
            <w:r>
              <w:rPr>
                <w:rFonts w:hint="eastAsia" w:asciiTheme="minorEastAsia" w:hAnsiTheme="minorEastAsia" w:eastAsiaTheme="minorEastAsia" w:cstheme="minorEastAsia"/>
                <w:sz w:val="21"/>
                <w:szCs w:val="21"/>
              </w:rPr>
              <w:t>%</w:t>
            </w:r>
          </w:p>
        </w:tc>
        <w:tc>
          <w:tcPr>
            <w:tcW w:w="2551" w:type="dxa"/>
            <w:vAlign w:val="center"/>
          </w:tcPr>
          <w:p>
            <w:pPr>
              <w:pStyle w:val="22"/>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513" w:type="dxa"/>
          </w:tcPr>
          <w:p>
            <w:pPr>
              <w:pStyle w:val="22"/>
              <w:spacing w:before="50"/>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4168" w:type="dxa"/>
            <w:vAlign w:val="top"/>
          </w:tcPr>
          <w:p>
            <w:pPr>
              <w:pStyle w:val="22"/>
              <w:spacing w:before="57"/>
              <w:ind w:left="10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学生学习满意度</w:t>
            </w:r>
          </w:p>
        </w:tc>
        <w:tc>
          <w:tcPr>
            <w:tcW w:w="1645" w:type="dxa"/>
            <w:vAlign w:val="top"/>
          </w:tcPr>
          <w:p>
            <w:pPr>
              <w:pStyle w:val="22"/>
              <w:spacing w:before="57"/>
              <w:ind w:left="10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w:t>
            </w:r>
            <w:r>
              <w:rPr>
                <w:rFonts w:hint="eastAsia" w:asciiTheme="minorEastAsia" w:hAnsiTheme="minorEastAsia" w:eastAsiaTheme="minorEastAsia" w:cstheme="minorEastAsia"/>
                <w:sz w:val="21"/>
                <w:szCs w:val="21"/>
              </w:rPr>
              <w:t>%</w:t>
            </w:r>
          </w:p>
        </w:tc>
        <w:tc>
          <w:tcPr>
            <w:tcW w:w="2551" w:type="dxa"/>
            <w:vAlign w:val="center"/>
          </w:tcPr>
          <w:p>
            <w:pPr>
              <w:pStyle w:val="22"/>
              <w:spacing w:before="57"/>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513" w:type="dxa"/>
          </w:tcPr>
          <w:p>
            <w:pPr>
              <w:pStyle w:val="22"/>
              <w:spacing w:before="54"/>
              <w:ind w:left="131" w:right="12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4168" w:type="dxa"/>
            <w:vAlign w:val="top"/>
          </w:tcPr>
          <w:p>
            <w:pPr>
              <w:pStyle w:val="22"/>
              <w:spacing w:before="53"/>
              <w:ind w:left="108"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用人单位对毕业生满意度</w:t>
            </w:r>
          </w:p>
        </w:tc>
        <w:tc>
          <w:tcPr>
            <w:tcW w:w="1645" w:type="dxa"/>
            <w:vAlign w:val="top"/>
          </w:tcPr>
          <w:p>
            <w:pPr>
              <w:pStyle w:val="22"/>
              <w:spacing w:before="53"/>
              <w:ind w:left="107"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97</w:t>
            </w:r>
            <w:r>
              <w:rPr>
                <w:rFonts w:hint="eastAsia" w:asciiTheme="minorEastAsia" w:hAnsiTheme="minorEastAsia" w:eastAsiaTheme="minorEastAsia" w:cstheme="minorEastAsia"/>
                <w:sz w:val="21"/>
                <w:szCs w:val="21"/>
              </w:rPr>
              <w:t>%</w:t>
            </w:r>
          </w:p>
        </w:tc>
        <w:tc>
          <w:tcPr>
            <w:tcW w:w="2551" w:type="dxa"/>
            <w:vAlign w:val="center"/>
          </w:tcPr>
          <w:p>
            <w:pPr>
              <w:pStyle w:val="22"/>
              <w:spacing w:before="53"/>
              <w:jc w:val="both"/>
              <w:rPr>
                <w:rFonts w:hint="eastAsia" w:asciiTheme="minorEastAsia" w:hAnsiTheme="minorEastAsia" w:eastAsiaTheme="minorEastAsia" w:cstheme="minorEastAsia"/>
                <w:sz w:val="21"/>
                <w:szCs w:val="21"/>
              </w:rPr>
            </w:pPr>
          </w:p>
        </w:tc>
      </w:tr>
    </w:tbl>
    <w:p>
      <w:pPr>
        <w:spacing w:after="0"/>
        <w:sectPr>
          <w:footerReference r:id="rId7" w:type="default"/>
          <w:pgSz w:w="11910" w:h="16840"/>
          <w:pgMar w:top="1400" w:right="1000" w:bottom="1160" w:left="1260" w:header="0" w:footer="964" w:gutter="0"/>
          <w:pgBorders>
            <w:top w:val="none" w:sz="0" w:space="0"/>
            <w:left w:val="none" w:sz="0" w:space="0"/>
            <w:bottom w:val="none" w:sz="0" w:space="0"/>
            <w:right w:val="none" w:sz="0" w:space="0"/>
          </w:pgBorders>
          <w:pgNumType w:fmt="decimal"/>
        </w:sectPr>
      </w:pPr>
    </w:p>
    <w:p>
      <w:pPr>
        <w:jc w:val="center"/>
        <w:rPr>
          <w:rFonts w:hint="eastAsia" w:ascii="宋体" w:hAnsi="宋体" w:eastAsia="宋体"/>
          <w:b/>
          <w:bCs w:val="0"/>
          <w:sz w:val="24"/>
          <w:szCs w:val="24"/>
          <w:u w:val="single"/>
        </w:rPr>
      </w:pPr>
      <w:r>
        <w:rPr>
          <w:rFonts w:hint="eastAsia" w:asciiTheme="majorEastAsia" w:hAnsiTheme="majorEastAsia" w:eastAsiaTheme="majorEastAsia"/>
          <w:b/>
          <w:bCs w:val="0"/>
          <w:sz w:val="24"/>
          <w:szCs w:val="24"/>
          <w:lang w:eastAsia="zh-CN"/>
        </w:rPr>
        <w:t>附</w:t>
      </w:r>
      <w:r>
        <w:rPr>
          <w:rFonts w:hint="eastAsia" w:asciiTheme="majorEastAsia" w:hAnsiTheme="majorEastAsia" w:eastAsiaTheme="majorEastAsia"/>
          <w:b/>
          <w:bCs w:val="0"/>
          <w:sz w:val="24"/>
          <w:szCs w:val="24"/>
        </w:rPr>
        <w:t>表</w:t>
      </w:r>
      <w:bookmarkStart w:id="81" w:name="OLE_LINK12"/>
      <w:bookmarkStart w:id="82" w:name="OLE_LINK11"/>
      <w:r>
        <w:rPr>
          <w:rFonts w:hint="eastAsia" w:asciiTheme="majorEastAsia" w:hAnsiTheme="majorEastAsia" w:eastAsiaTheme="majorEastAsia"/>
          <w:b/>
          <w:bCs w:val="0"/>
          <w:sz w:val="24"/>
          <w:szCs w:val="24"/>
          <w:lang w:val="en-US" w:eastAsia="zh-CN"/>
        </w:rPr>
        <w:t xml:space="preserve">1  </w:t>
      </w:r>
      <w:r>
        <w:rPr>
          <w:rFonts w:hint="eastAsia" w:asciiTheme="majorEastAsia" w:hAnsiTheme="majorEastAsia" w:eastAsiaTheme="majorEastAsia"/>
          <w:b/>
          <w:bCs w:val="0"/>
          <w:sz w:val="24"/>
          <w:szCs w:val="24"/>
        </w:rPr>
        <w:t>本科在校生情况、生师比</w:t>
      </w:r>
      <w:bookmarkEnd w:id="81"/>
      <w:bookmarkEnd w:id="82"/>
    </w:p>
    <w:tbl>
      <w:tblPr>
        <w:tblStyle w:val="14"/>
        <w:tblpPr w:leftFromText="180" w:rightFromText="180" w:vertAnchor="text" w:horzAnchor="page" w:tblpX="1635" w:tblpY="117"/>
        <w:tblOverlap w:val="never"/>
        <w:tblW w:w="85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1425"/>
        <w:gridCol w:w="1245"/>
        <w:gridCol w:w="1275"/>
        <w:gridCol w:w="1485"/>
        <w:gridCol w:w="780"/>
        <w:gridCol w:w="1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1240" w:type="dxa"/>
            <w:vAlign w:val="center"/>
          </w:tcPr>
          <w:p>
            <w:pPr>
              <w:tabs>
                <w:tab w:val="right" w:leader="dot" w:pos="8948"/>
              </w:tabs>
              <w:jc w:val="center"/>
              <w:rPr>
                <w:rFonts w:ascii="宋体" w:hAnsi="宋体" w:eastAsia="宋体" w:cs="Calibri"/>
                <w:b/>
                <w:bCs w:val="0"/>
                <w:sz w:val="21"/>
                <w:szCs w:val="21"/>
              </w:rPr>
            </w:pPr>
            <w:r>
              <w:rPr>
                <w:rFonts w:hint="eastAsia" w:ascii="宋体" w:hAnsi="宋体" w:eastAsia="宋体" w:cs="Calibri"/>
                <w:b/>
                <w:bCs w:val="0"/>
                <w:sz w:val="21"/>
                <w:szCs w:val="21"/>
              </w:rPr>
              <w:t>折合在校生数</w:t>
            </w:r>
          </w:p>
        </w:tc>
        <w:tc>
          <w:tcPr>
            <w:tcW w:w="1425" w:type="dxa"/>
            <w:vAlign w:val="center"/>
          </w:tcPr>
          <w:p>
            <w:pPr>
              <w:tabs>
                <w:tab w:val="right" w:leader="dot" w:pos="8948"/>
              </w:tabs>
              <w:jc w:val="center"/>
              <w:rPr>
                <w:rFonts w:ascii="宋体" w:hAnsi="宋体" w:eastAsia="宋体" w:cs="Calibri"/>
                <w:b/>
                <w:bCs w:val="0"/>
                <w:sz w:val="21"/>
                <w:szCs w:val="21"/>
              </w:rPr>
            </w:pPr>
            <w:r>
              <w:rPr>
                <w:rFonts w:hint="eastAsia" w:ascii="宋体" w:hAnsi="宋体" w:eastAsia="宋体" w:cs="Calibri"/>
                <w:b/>
                <w:bCs w:val="0"/>
                <w:sz w:val="21"/>
                <w:szCs w:val="21"/>
              </w:rPr>
              <w:t>全日制本科在校生数</w:t>
            </w:r>
          </w:p>
        </w:tc>
        <w:tc>
          <w:tcPr>
            <w:tcW w:w="1245" w:type="dxa"/>
            <w:vAlign w:val="center"/>
          </w:tcPr>
          <w:p>
            <w:pPr>
              <w:tabs>
                <w:tab w:val="right" w:leader="dot" w:pos="8948"/>
              </w:tabs>
              <w:jc w:val="center"/>
              <w:rPr>
                <w:rFonts w:ascii="宋体" w:hAnsi="宋体" w:eastAsia="宋体" w:cs="Calibri"/>
                <w:b/>
                <w:bCs w:val="0"/>
                <w:sz w:val="21"/>
                <w:szCs w:val="21"/>
              </w:rPr>
            </w:pPr>
            <w:r>
              <w:rPr>
                <w:rFonts w:hint="eastAsia" w:ascii="宋体" w:hAnsi="宋体" w:eastAsia="宋体" w:cs="Calibri"/>
                <w:b/>
                <w:bCs w:val="0"/>
                <w:sz w:val="21"/>
                <w:szCs w:val="21"/>
              </w:rPr>
              <w:t>全日制专科生人数</w:t>
            </w:r>
          </w:p>
        </w:tc>
        <w:tc>
          <w:tcPr>
            <w:tcW w:w="1275" w:type="dxa"/>
            <w:vAlign w:val="center"/>
          </w:tcPr>
          <w:p>
            <w:pPr>
              <w:tabs>
                <w:tab w:val="right" w:leader="dot" w:pos="8948"/>
              </w:tabs>
              <w:jc w:val="center"/>
              <w:rPr>
                <w:rFonts w:ascii="宋体" w:hAnsi="宋体" w:eastAsia="宋体" w:cs="Calibri"/>
                <w:b/>
                <w:bCs w:val="0"/>
                <w:sz w:val="21"/>
                <w:szCs w:val="21"/>
              </w:rPr>
            </w:pPr>
            <w:r>
              <w:rPr>
                <w:rFonts w:hint="eastAsia" w:ascii="宋体" w:hAnsi="宋体" w:eastAsia="宋体" w:cs="Calibri"/>
                <w:b/>
                <w:bCs w:val="0"/>
                <w:sz w:val="21"/>
                <w:szCs w:val="21"/>
              </w:rPr>
              <w:t>全日制在校生数</w:t>
            </w:r>
          </w:p>
        </w:tc>
        <w:tc>
          <w:tcPr>
            <w:tcW w:w="1485" w:type="dxa"/>
            <w:vAlign w:val="center"/>
          </w:tcPr>
          <w:p>
            <w:pPr>
              <w:tabs>
                <w:tab w:val="right" w:leader="dot" w:pos="8948"/>
              </w:tabs>
              <w:jc w:val="center"/>
              <w:rPr>
                <w:rFonts w:ascii="宋体" w:hAnsi="宋体" w:eastAsia="宋体" w:cs="Calibri"/>
                <w:b/>
                <w:bCs w:val="0"/>
                <w:sz w:val="21"/>
                <w:szCs w:val="21"/>
              </w:rPr>
            </w:pPr>
            <w:r>
              <w:rPr>
                <w:rFonts w:hint="eastAsia" w:ascii="宋体" w:hAnsi="宋体" w:eastAsia="宋体" w:cs="Calibri"/>
                <w:b/>
                <w:bCs w:val="0"/>
                <w:sz w:val="21"/>
                <w:szCs w:val="21"/>
              </w:rPr>
              <w:t>本科生占全日制在校生比例</w:t>
            </w:r>
          </w:p>
        </w:tc>
        <w:tc>
          <w:tcPr>
            <w:tcW w:w="780" w:type="dxa"/>
            <w:vAlign w:val="center"/>
          </w:tcPr>
          <w:p>
            <w:pPr>
              <w:tabs>
                <w:tab w:val="right" w:leader="dot" w:pos="8948"/>
              </w:tabs>
              <w:jc w:val="center"/>
              <w:rPr>
                <w:rFonts w:ascii="宋体" w:hAnsi="宋体" w:eastAsia="宋体" w:cs="Calibri"/>
                <w:b/>
                <w:bCs w:val="0"/>
                <w:sz w:val="21"/>
                <w:szCs w:val="21"/>
              </w:rPr>
            </w:pPr>
            <w:r>
              <w:rPr>
                <w:rFonts w:hint="eastAsia" w:ascii="宋体" w:hAnsi="宋体" w:eastAsia="宋体" w:cs="Calibri"/>
                <w:b/>
                <w:bCs w:val="0"/>
                <w:sz w:val="21"/>
                <w:szCs w:val="21"/>
              </w:rPr>
              <w:t>教师总数</w:t>
            </w:r>
          </w:p>
        </w:tc>
        <w:tc>
          <w:tcPr>
            <w:tcW w:w="1082" w:type="dxa"/>
            <w:vAlign w:val="center"/>
          </w:tcPr>
          <w:p>
            <w:pPr>
              <w:tabs>
                <w:tab w:val="right" w:leader="dot" w:pos="8948"/>
              </w:tabs>
              <w:jc w:val="center"/>
              <w:rPr>
                <w:rFonts w:ascii="宋体" w:hAnsi="宋体" w:eastAsia="宋体" w:cs="Calibri"/>
                <w:b/>
                <w:bCs w:val="0"/>
                <w:sz w:val="21"/>
                <w:szCs w:val="21"/>
              </w:rPr>
            </w:pPr>
            <w:r>
              <w:rPr>
                <w:rFonts w:hint="eastAsia" w:ascii="宋体" w:hAnsi="宋体" w:eastAsia="宋体" w:cs="Calibri"/>
                <w:b/>
                <w:bCs w:val="0"/>
                <w:sz w:val="21"/>
                <w:szCs w:val="21"/>
              </w:rPr>
              <w:t>生师比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trPr>
        <w:tc>
          <w:tcPr>
            <w:tcW w:w="1240" w:type="dxa"/>
            <w:vAlign w:val="center"/>
          </w:tcPr>
          <w:p>
            <w:pPr>
              <w:tabs>
                <w:tab w:val="right" w:leader="dot" w:pos="8948"/>
              </w:tabs>
              <w:jc w:val="center"/>
              <w:rPr>
                <w:rFonts w:ascii="宋体" w:hAnsi="宋体" w:eastAsia="宋体" w:cs="Calibri"/>
                <w:bCs/>
                <w:sz w:val="21"/>
                <w:szCs w:val="21"/>
              </w:rPr>
            </w:pPr>
            <w:r>
              <w:rPr>
                <w:rFonts w:hint="eastAsia" w:ascii="宋体" w:hAnsi="宋体" w:eastAsia="宋体" w:cs="Calibri"/>
                <w:bCs/>
                <w:sz w:val="21"/>
                <w:szCs w:val="21"/>
              </w:rPr>
              <w:t>14431.9</w:t>
            </w:r>
          </w:p>
        </w:tc>
        <w:tc>
          <w:tcPr>
            <w:tcW w:w="1425" w:type="dxa"/>
            <w:vAlign w:val="center"/>
          </w:tcPr>
          <w:p>
            <w:pPr>
              <w:tabs>
                <w:tab w:val="right" w:leader="dot" w:pos="8948"/>
              </w:tabs>
              <w:jc w:val="center"/>
              <w:rPr>
                <w:rFonts w:ascii="宋体" w:hAnsi="宋体" w:eastAsia="宋体" w:cs="Calibri"/>
                <w:bCs/>
                <w:sz w:val="21"/>
                <w:szCs w:val="21"/>
              </w:rPr>
            </w:pPr>
            <w:r>
              <w:rPr>
                <w:rFonts w:hint="eastAsia" w:ascii="宋体" w:hAnsi="宋体" w:eastAsia="宋体" w:cs="Calibri"/>
                <w:bCs/>
                <w:sz w:val="21"/>
                <w:szCs w:val="21"/>
              </w:rPr>
              <w:t>10457</w:t>
            </w:r>
          </w:p>
        </w:tc>
        <w:tc>
          <w:tcPr>
            <w:tcW w:w="1245" w:type="dxa"/>
            <w:vAlign w:val="center"/>
          </w:tcPr>
          <w:p>
            <w:pPr>
              <w:tabs>
                <w:tab w:val="right" w:leader="dot" w:pos="8948"/>
              </w:tabs>
              <w:jc w:val="center"/>
              <w:rPr>
                <w:rFonts w:ascii="宋体" w:hAnsi="宋体" w:eastAsia="宋体" w:cs="Calibri"/>
                <w:bCs/>
                <w:sz w:val="21"/>
                <w:szCs w:val="21"/>
              </w:rPr>
            </w:pPr>
            <w:r>
              <w:rPr>
                <w:rFonts w:hint="eastAsia" w:ascii="宋体" w:hAnsi="宋体" w:eastAsia="宋体" w:cs="Calibri"/>
                <w:bCs/>
                <w:sz w:val="21"/>
                <w:szCs w:val="21"/>
              </w:rPr>
              <w:t>2509</w:t>
            </w:r>
          </w:p>
        </w:tc>
        <w:tc>
          <w:tcPr>
            <w:tcW w:w="1275" w:type="dxa"/>
            <w:vAlign w:val="center"/>
          </w:tcPr>
          <w:p>
            <w:pPr>
              <w:tabs>
                <w:tab w:val="right" w:leader="dot" w:pos="8948"/>
              </w:tabs>
              <w:jc w:val="center"/>
              <w:rPr>
                <w:rFonts w:hint="eastAsia" w:ascii="宋体" w:hAnsi="宋体" w:eastAsia="宋体" w:cs="Calibri"/>
                <w:bCs/>
                <w:sz w:val="21"/>
                <w:szCs w:val="21"/>
                <w:lang w:val="en-US" w:eastAsia="zh-CN"/>
              </w:rPr>
            </w:pPr>
            <w:r>
              <w:rPr>
                <w:rFonts w:hint="eastAsia" w:ascii="宋体" w:hAnsi="宋体" w:eastAsia="宋体" w:cs="Calibri"/>
                <w:bCs/>
                <w:sz w:val="21"/>
                <w:szCs w:val="21"/>
                <w:lang w:val="en-US" w:eastAsia="zh-CN"/>
              </w:rPr>
              <w:t>14415</w:t>
            </w:r>
          </w:p>
        </w:tc>
        <w:tc>
          <w:tcPr>
            <w:tcW w:w="1485" w:type="dxa"/>
            <w:vAlign w:val="center"/>
          </w:tcPr>
          <w:p>
            <w:pPr>
              <w:tabs>
                <w:tab w:val="right" w:leader="dot" w:pos="8948"/>
              </w:tabs>
              <w:jc w:val="center"/>
              <w:rPr>
                <w:rFonts w:ascii="宋体" w:hAnsi="宋体" w:eastAsia="宋体" w:cs="Calibri"/>
                <w:bCs/>
                <w:sz w:val="21"/>
                <w:szCs w:val="21"/>
              </w:rPr>
            </w:pPr>
            <w:r>
              <w:rPr>
                <w:rFonts w:hint="eastAsia" w:ascii="宋体" w:hAnsi="宋体" w:eastAsia="宋体" w:cs="Calibri"/>
                <w:bCs/>
                <w:sz w:val="21"/>
                <w:szCs w:val="21"/>
                <w:lang w:val="en-US" w:eastAsia="zh-CN"/>
              </w:rPr>
              <w:t>82.42</w:t>
            </w:r>
            <w:r>
              <w:rPr>
                <w:rFonts w:hint="eastAsia" w:ascii="宋体" w:hAnsi="宋体" w:eastAsia="宋体" w:cs="Calibri"/>
                <w:bCs/>
                <w:sz w:val="21"/>
                <w:szCs w:val="21"/>
              </w:rPr>
              <w:t>%</w:t>
            </w:r>
          </w:p>
        </w:tc>
        <w:tc>
          <w:tcPr>
            <w:tcW w:w="780" w:type="dxa"/>
            <w:vAlign w:val="center"/>
          </w:tcPr>
          <w:p>
            <w:pPr>
              <w:tabs>
                <w:tab w:val="right" w:leader="dot" w:pos="8948"/>
              </w:tabs>
              <w:jc w:val="center"/>
              <w:rPr>
                <w:rFonts w:ascii="宋体" w:hAnsi="宋体" w:eastAsia="宋体" w:cs="Calibri"/>
                <w:bCs/>
                <w:sz w:val="21"/>
                <w:szCs w:val="21"/>
              </w:rPr>
            </w:pPr>
            <w:r>
              <w:rPr>
                <w:rFonts w:hint="eastAsia" w:ascii="宋体" w:hAnsi="宋体" w:eastAsia="宋体" w:cs="Calibri"/>
                <w:bCs/>
                <w:sz w:val="21"/>
                <w:szCs w:val="21"/>
              </w:rPr>
              <w:t>703</w:t>
            </w:r>
          </w:p>
        </w:tc>
        <w:tc>
          <w:tcPr>
            <w:tcW w:w="1082" w:type="dxa"/>
            <w:vAlign w:val="center"/>
          </w:tcPr>
          <w:p>
            <w:pPr>
              <w:tabs>
                <w:tab w:val="right" w:leader="dot" w:pos="8948"/>
              </w:tabs>
              <w:jc w:val="center"/>
              <w:rPr>
                <w:rFonts w:hint="eastAsia" w:ascii="宋体" w:hAnsi="宋体" w:eastAsia="宋体" w:cs="Calibri"/>
                <w:bCs/>
                <w:sz w:val="21"/>
                <w:szCs w:val="21"/>
                <w:lang w:val="en-US" w:eastAsia="zh-CN"/>
              </w:rPr>
            </w:pPr>
            <w:r>
              <w:rPr>
                <w:rFonts w:hint="eastAsia" w:ascii="宋体" w:hAnsi="宋体" w:eastAsia="宋体" w:cs="Calibri"/>
                <w:bCs/>
                <w:sz w:val="21"/>
                <w:szCs w:val="21"/>
              </w:rPr>
              <w:t>20.53</w:t>
            </w:r>
            <w:r>
              <w:rPr>
                <w:rFonts w:hint="eastAsia" w:ascii="宋体" w:hAnsi="宋体" w:eastAsia="宋体" w:cs="Calibri"/>
                <w:bCs/>
                <w:sz w:val="21"/>
                <w:szCs w:val="21"/>
                <w:lang w:eastAsia="zh-CN"/>
              </w:rPr>
              <w:t>：</w:t>
            </w:r>
            <w:r>
              <w:rPr>
                <w:rFonts w:hint="eastAsia" w:ascii="宋体" w:hAnsi="宋体" w:eastAsia="宋体" w:cs="Calibri"/>
                <w:bCs/>
                <w:sz w:val="21"/>
                <w:szCs w:val="21"/>
                <w:lang w:val="en-US" w:eastAsia="zh-CN"/>
              </w:rPr>
              <w:t>1</w:t>
            </w:r>
          </w:p>
        </w:tc>
      </w:tr>
    </w:tbl>
    <w:p>
      <w:pPr>
        <w:numPr>
          <w:ilvl w:val="0"/>
          <w:numId w:val="0"/>
        </w:numPr>
        <w:jc w:val="left"/>
        <w:rPr>
          <w:rFonts w:hint="eastAsia" w:ascii="宋体" w:hAnsi="宋体" w:eastAsia="宋体"/>
          <w:sz w:val="24"/>
          <w:szCs w:val="24"/>
          <w:u w:val="single"/>
        </w:rPr>
      </w:pPr>
    </w:p>
    <w:p>
      <w:pPr>
        <w:jc w:val="center"/>
        <w:rPr>
          <w:rFonts w:hint="eastAsia" w:asciiTheme="majorEastAsia" w:hAnsiTheme="majorEastAsia" w:eastAsiaTheme="majorEastAsia"/>
          <w:b/>
          <w:bCs w:val="0"/>
          <w:sz w:val="24"/>
          <w:szCs w:val="24"/>
          <w:lang w:eastAsia="zh-CN"/>
        </w:rPr>
      </w:pPr>
    </w:p>
    <w:p>
      <w:pPr>
        <w:jc w:val="center"/>
        <w:rPr>
          <w:b/>
          <w:bCs w:val="0"/>
          <w:sz w:val="24"/>
          <w:szCs w:val="24"/>
        </w:rPr>
      </w:pPr>
      <w:r>
        <w:rPr>
          <w:rFonts w:hint="eastAsia" w:asciiTheme="majorEastAsia" w:hAnsiTheme="majorEastAsia" w:eastAsiaTheme="majorEastAsia"/>
          <w:b/>
          <w:bCs w:val="0"/>
          <w:sz w:val="24"/>
          <w:szCs w:val="24"/>
          <w:lang w:eastAsia="zh-CN"/>
        </w:rPr>
        <w:t>附</w:t>
      </w:r>
      <w:r>
        <w:rPr>
          <w:rFonts w:hint="eastAsia" w:asciiTheme="majorEastAsia" w:hAnsiTheme="majorEastAsia" w:eastAsiaTheme="majorEastAsia"/>
          <w:b/>
          <w:bCs w:val="0"/>
          <w:sz w:val="24"/>
          <w:szCs w:val="24"/>
        </w:rPr>
        <w:t>表</w:t>
      </w:r>
      <w:r>
        <w:rPr>
          <w:rFonts w:hint="eastAsia" w:asciiTheme="majorEastAsia" w:hAnsiTheme="majorEastAsia" w:eastAsiaTheme="majorEastAsia"/>
          <w:b/>
          <w:bCs w:val="0"/>
          <w:sz w:val="24"/>
          <w:szCs w:val="24"/>
          <w:lang w:val="en-US" w:eastAsia="zh-CN"/>
        </w:rPr>
        <w:t xml:space="preserve">2  </w:t>
      </w:r>
      <w:r>
        <w:rPr>
          <w:rFonts w:hint="eastAsia" w:asciiTheme="majorEastAsia" w:hAnsiTheme="majorEastAsia" w:eastAsiaTheme="majorEastAsia"/>
          <w:b/>
          <w:bCs w:val="0"/>
          <w:sz w:val="24"/>
          <w:szCs w:val="24"/>
          <w:lang w:eastAsia="zh-CN"/>
        </w:rPr>
        <w:t>专任教师</w:t>
      </w:r>
      <w:r>
        <w:rPr>
          <w:rFonts w:hint="eastAsia" w:asciiTheme="majorEastAsia" w:hAnsiTheme="majorEastAsia" w:eastAsiaTheme="majorEastAsia"/>
          <w:b/>
          <w:bCs w:val="0"/>
          <w:sz w:val="24"/>
          <w:szCs w:val="24"/>
        </w:rPr>
        <w:t>职称、学位、年龄结构</w:t>
      </w:r>
    </w:p>
    <w:tbl>
      <w:tblPr>
        <w:tblStyle w:val="14"/>
        <w:tblW w:w="722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587"/>
        <w:gridCol w:w="1636"/>
        <w:gridCol w:w="192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366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bookmarkStart w:id="83" w:name="_Toc528819619"/>
            <w:r>
              <w:rPr>
                <w:rFonts w:hint="eastAsia" w:ascii="宋体" w:hAnsi="宋体" w:eastAsia="宋体" w:cs="宋体"/>
                <w:b/>
                <w:i w:val="0"/>
                <w:color w:val="000000"/>
                <w:kern w:val="0"/>
                <w:sz w:val="21"/>
                <w:szCs w:val="21"/>
                <w:u w:val="none"/>
                <w:lang w:val="en-US" w:eastAsia="zh-CN" w:bidi="ar"/>
              </w:rPr>
              <w:t>项目</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教师数量（人）</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所占比例（%）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366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总计</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694</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职称</w:t>
            </w: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正高级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50</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其中教授</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33</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4.76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副高级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192</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27.67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其中副教授</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65</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9.37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321</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46.25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其中讲师</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202</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29.11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初级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26</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3.75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w:t>
            </w:r>
            <w:r>
              <w:rPr>
                <w:rFonts w:hint="eastAsia" w:ascii="宋体" w:hAnsi="宋体" w:eastAsia="宋体" w:cs="宋体"/>
                <w:b w:val="0"/>
                <w:bCs/>
                <w:i w:val="0"/>
                <w:color w:val="000000"/>
                <w:kern w:val="0"/>
                <w:sz w:val="18"/>
                <w:szCs w:val="18"/>
                <w:highlight w:val="none"/>
                <w:u w:val="none"/>
                <w:lang w:val="en-US" w:eastAsia="zh-CN" w:bidi="ar"/>
              </w:rPr>
              <w:t>中助教</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38.46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未评级</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105</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15.13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最高学位</w:t>
            </w: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博士</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30</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硕士</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352</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50.72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学士</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280</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40.35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无学位</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32</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4.61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年龄</w:t>
            </w: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35岁及以下</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248</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36-45岁</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83</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11.96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46-55岁</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49</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7.06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i w:val="0"/>
                <w:color w:val="000000"/>
                <w:sz w:val="18"/>
                <w:szCs w:val="18"/>
                <w:u w:val="none"/>
              </w:rPr>
            </w:pPr>
          </w:p>
        </w:tc>
        <w:tc>
          <w:tcPr>
            <w:tcW w:w="25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56岁及以上</w:t>
            </w:r>
          </w:p>
        </w:tc>
        <w:tc>
          <w:tcPr>
            <w:tcW w:w="16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31</w:t>
            </w:r>
          </w:p>
        </w:tc>
        <w:tc>
          <w:tcPr>
            <w:tcW w:w="19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4.47</w:t>
            </w:r>
          </w:p>
        </w:tc>
      </w:tr>
    </w:tbl>
    <w:p>
      <w:pPr>
        <w:jc w:val="center"/>
        <w:rPr>
          <w:rFonts w:hint="eastAsia" w:asciiTheme="majorEastAsia" w:hAnsiTheme="majorEastAsia" w:eastAsiaTheme="majorEastAsia"/>
          <w:b/>
          <w:bCs w:val="0"/>
          <w:sz w:val="24"/>
          <w:szCs w:val="24"/>
          <w:lang w:eastAsia="zh-CN"/>
        </w:rPr>
      </w:pPr>
    </w:p>
    <w:p>
      <w:pPr>
        <w:jc w:val="center"/>
        <w:rPr>
          <w:rFonts w:hint="eastAsia" w:asciiTheme="majorEastAsia" w:hAnsiTheme="majorEastAsia" w:eastAsiaTheme="majorEastAsia"/>
          <w:b/>
          <w:bCs w:val="0"/>
          <w:sz w:val="24"/>
          <w:szCs w:val="24"/>
          <w:lang w:eastAsia="zh-CN"/>
        </w:rPr>
      </w:pPr>
    </w:p>
    <w:p>
      <w:pPr>
        <w:jc w:val="center"/>
        <w:rPr>
          <w:rFonts w:hint="eastAsia" w:asciiTheme="majorEastAsia" w:hAnsiTheme="majorEastAsia" w:eastAsiaTheme="majorEastAsia"/>
          <w:b/>
          <w:bCs w:val="0"/>
          <w:sz w:val="24"/>
          <w:szCs w:val="24"/>
          <w:lang w:eastAsia="zh-CN"/>
        </w:rPr>
      </w:pPr>
      <w:r>
        <w:rPr>
          <w:rFonts w:hint="eastAsia" w:asciiTheme="majorEastAsia" w:hAnsiTheme="majorEastAsia" w:eastAsiaTheme="majorEastAsia"/>
          <w:b/>
          <w:bCs w:val="0"/>
          <w:sz w:val="24"/>
          <w:szCs w:val="24"/>
          <w:lang w:eastAsia="zh-CN"/>
        </w:rPr>
        <w:t>附表</w:t>
      </w:r>
      <w:r>
        <w:rPr>
          <w:rFonts w:hint="eastAsia" w:asciiTheme="majorEastAsia" w:hAnsiTheme="majorEastAsia" w:eastAsiaTheme="majorEastAsia"/>
          <w:b/>
          <w:bCs w:val="0"/>
          <w:sz w:val="24"/>
          <w:szCs w:val="24"/>
          <w:lang w:val="en-US" w:eastAsia="zh-CN"/>
        </w:rPr>
        <w:t>3   本科专业设置情况</w:t>
      </w:r>
      <w:bookmarkEnd w:id="83"/>
    </w:p>
    <w:tbl>
      <w:tblPr>
        <w:tblStyle w:val="14"/>
        <w:tblW w:w="8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7"/>
        <w:gridCol w:w="2155"/>
        <w:gridCol w:w="927"/>
        <w:gridCol w:w="2591"/>
        <w:gridCol w:w="968"/>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8"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专业名称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专业代码</w:t>
            </w:r>
          </w:p>
        </w:tc>
        <w:tc>
          <w:tcPr>
            <w:tcW w:w="2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校内专业名称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校内</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专业代码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招生状态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电气工程及其自动化</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080601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电气工程及其自动化</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0115</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计算机科学与技术（移动应用开发方向）</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0214</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计算机科学与技术（4G移动通信方向）</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0213</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0216</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交通运输</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081801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交通运输</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0408</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工商管理</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120201K</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工商管理</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0311</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会计学</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120203K</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会计学</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0701</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市场营销</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120202</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市场营销</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0313</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土木工程</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081001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土木工程</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财务管理</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120204</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财务管理</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0704</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计算机科学与技术（互联网会计、审计软件应用与维护方向）</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计算机科学与技术（智慧建筑软件设计与开发方向）</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1003</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物联网工程</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080905</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物联网工程</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0217</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质量管理工程</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120703T</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质量管理工程</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0119</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工艺美术</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130507</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工艺美术</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0512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建筑学</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082801</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建筑学</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0803</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通信工程</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080703</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通信工程</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0218</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软件工程</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080902</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软件工程</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1004</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物流工程</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120602</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物流工程</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0410</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环境设计</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130503</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环境设计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0513</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经济与金融</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020307T</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经济与金融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0314</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汽车服务工程</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080208</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汽车服务工程</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0412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数字媒体技术</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080906</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数字媒体技术</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1005</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工程造价</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120105</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工程造价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0804</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食品质量与安全</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082702</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食品质量与安全</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0122</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机械设计制造及其自动化</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080202</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机械设计制造及其自动化</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0123</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工程审计</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120109T</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工程审计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0706</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视觉传达设计</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130502</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视觉传达设计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0517</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数据科学与大数据技术</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080910T</w:t>
            </w:r>
          </w:p>
        </w:tc>
        <w:tc>
          <w:tcPr>
            <w:tcW w:w="2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数据科学与大数据技术</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0219</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在招</w:t>
            </w:r>
          </w:p>
        </w:tc>
      </w:tr>
    </w:tbl>
    <w:p>
      <w:pPr>
        <w:jc w:val="left"/>
        <w:rPr>
          <w:rFonts w:hint="eastAsia" w:ascii="宋体" w:hAnsi="宋体" w:eastAsia="宋体"/>
          <w:sz w:val="24"/>
          <w:szCs w:val="24"/>
          <w:u w:val="none"/>
        </w:rPr>
      </w:pPr>
    </w:p>
    <w:p>
      <w:pPr>
        <w:jc w:val="center"/>
        <w:rPr>
          <w:rFonts w:hint="eastAsia" w:asciiTheme="majorEastAsia" w:hAnsiTheme="majorEastAsia" w:eastAsiaTheme="majorEastAsia"/>
          <w:b/>
          <w:bCs w:val="0"/>
          <w:sz w:val="24"/>
          <w:szCs w:val="24"/>
          <w:lang w:eastAsia="zh-CN"/>
        </w:rPr>
      </w:pPr>
      <w:r>
        <w:rPr>
          <w:rFonts w:hint="eastAsia" w:asciiTheme="majorEastAsia" w:hAnsiTheme="majorEastAsia" w:eastAsiaTheme="majorEastAsia"/>
          <w:b/>
          <w:bCs w:val="0"/>
          <w:sz w:val="24"/>
          <w:szCs w:val="24"/>
          <w:lang w:eastAsia="zh-CN"/>
        </w:rPr>
        <w:t>附表</w:t>
      </w:r>
      <w:r>
        <w:rPr>
          <w:rFonts w:hint="eastAsia" w:asciiTheme="majorEastAsia" w:hAnsiTheme="majorEastAsia" w:eastAsiaTheme="majorEastAsia"/>
          <w:b/>
          <w:bCs w:val="0"/>
          <w:sz w:val="24"/>
          <w:szCs w:val="24"/>
          <w:lang w:val="en-US" w:eastAsia="zh-CN"/>
        </w:rPr>
        <w:t xml:space="preserve">4 </w:t>
      </w:r>
      <w:r>
        <w:rPr>
          <w:rFonts w:hint="eastAsia" w:asciiTheme="majorEastAsia" w:hAnsiTheme="majorEastAsia" w:eastAsiaTheme="majorEastAsia"/>
          <w:b/>
          <w:bCs w:val="0"/>
          <w:sz w:val="24"/>
          <w:szCs w:val="24"/>
          <w:lang w:eastAsia="zh-CN"/>
        </w:rPr>
        <w:t>教学科研仪器设备值情况</w:t>
      </w:r>
    </w:p>
    <w:tbl>
      <w:tblPr>
        <w:tblStyle w:val="14"/>
        <w:tblpPr w:leftFromText="180" w:rightFromText="180" w:vertAnchor="text" w:horzAnchor="page" w:tblpX="1770" w:tblpY="236"/>
        <w:tblOverlap w:val="never"/>
        <w:tblW w:w="8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45"/>
        <w:gridCol w:w="2868"/>
        <w:gridCol w:w="3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5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b/>
                <w:bCs w:val="0"/>
                <w:sz w:val="24"/>
                <w:szCs w:val="24"/>
                <w:lang w:eastAsia="zh-CN"/>
              </w:rPr>
            </w:pPr>
            <w:r>
              <w:rPr>
                <w:rFonts w:hint="eastAsia" w:asciiTheme="majorEastAsia" w:hAnsiTheme="majorEastAsia" w:eastAsiaTheme="majorEastAsia"/>
                <w:b/>
                <w:bCs w:val="0"/>
                <w:sz w:val="24"/>
                <w:szCs w:val="24"/>
                <w:lang w:val="en-US" w:eastAsia="zh-CN"/>
              </w:rPr>
              <w:t>项目</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b/>
                <w:bCs w:val="0"/>
                <w:sz w:val="24"/>
                <w:szCs w:val="24"/>
                <w:lang w:eastAsia="zh-CN"/>
              </w:rPr>
            </w:pPr>
            <w:r>
              <w:rPr>
                <w:rFonts w:hint="eastAsia" w:asciiTheme="majorEastAsia" w:hAnsiTheme="majorEastAsia" w:eastAsiaTheme="majorEastAsia"/>
                <w:b/>
                <w:bCs w:val="0"/>
                <w:sz w:val="24"/>
                <w:szCs w:val="24"/>
                <w:lang w:val="en-US" w:eastAsia="zh-CN"/>
              </w:rPr>
              <w:t>学校情况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23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教学、科研仪器设备</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资产总值（万元）</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11042.42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2345"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eastAsia="zh-CN"/>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生均（万元）</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2345"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eastAsia="zh-CN"/>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当年新增（万元）</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1983.83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34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eastAsia="zh-CN"/>
              </w:rPr>
            </w:pPr>
          </w:p>
        </w:tc>
        <w:tc>
          <w:tcPr>
            <w:tcW w:w="286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当年新增所占比例（％）</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21.90</w:t>
            </w:r>
          </w:p>
        </w:tc>
      </w:tr>
    </w:tbl>
    <w:p>
      <w:pPr>
        <w:jc w:val="center"/>
        <w:rPr>
          <w:rFonts w:hint="eastAsia" w:asciiTheme="majorEastAsia" w:hAnsiTheme="majorEastAsia" w:eastAsiaTheme="majorEastAsia"/>
          <w:b/>
          <w:bCs w:val="0"/>
          <w:sz w:val="24"/>
          <w:szCs w:val="24"/>
          <w:lang w:eastAsia="zh-CN"/>
        </w:rPr>
      </w:pPr>
    </w:p>
    <w:p>
      <w:pPr>
        <w:jc w:val="left"/>
        <w:rPr>
          <w:u w:val="none"/>
        </w:rPr>
      </w:pPr>
    </w:p>
    <w:p>
      <w:pPr>
        <w:jc w:val="center"/>
        <w:rPr>
          <w:rFonts w:hint="eastAsia" w:asciiTheme="majorEastAsia" w:hAnsiTheme="majorEastAsia" w:eastAsiaTheme="majorEastAsia"/>
          <w:b/>
          <w:bCs w:val="0"/>
          <w:sz w:val="24"/>
          <w:szCs w:val="24"/>
          <w:lang w:eastAsia="zh-CN"/>
        </w:rPr>
      </w:pPr>
      <w:r>
        <w:rPr>
          <w:rFonts w:hint="eastAsia" w:asciiTheme="majorEastAsia" w:hAnsiTheme="majorEastAsia" w:eastAsiaTheme="majorEastAsia"/>
          <w:b/>
          <w:bCs w:val="0"/>
          <w:sz w:val="24"/>
          <w:szCs w:val="24"/>
          <w:lang w:eastAsia="zh-CN"/>
        </w:rPr>
        <w:t>附表</w:t>
      </w:r>
      <w:r>
        <w:rPr>
          <w:rFonts w:hint="eastAsia" w:asciiTheme="majorEastAsia" w:hAnsiTheme="majorEastAsia" w:eastAsiaTheme="majorEastAsia"/>
          <w:b/>
          <w:bCs w:val="0"/>
          <w:sz w:val="24"/>
          <w:szCs w:val="24"/>
          <w:lang w:val="en-US" w:eastAsia="zh-CN"/>
        </w:rPr>
        <w:t xml:space="preserve">5 </w:t>
      </w:r>
      <w:r>
        <w:rPr>
          <w:rFonts w:hint="eastAsia" w:asciiTheme="majorEastAsia" w:hAnsiTheme="majorEastAsia" w:eastAsiaTheme="majorEastAsia"/>
          <w:b/>
          <w:bCs w:val="0"/>
          <w:sz w:val="24"/>
          <w:szCs w:val="24"/>
          <w:lang w:eastAsia="zh-CN"/>
        </w:rPr>
        <w:t xml:space="preserve"> 图书资源情况</w:t>
      </w:r>
    </w:p>
    <w:tbl>
      <w:tblPr>
        <w:tblStyle w:val="14"/>
        <w:tblW w:w="7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02"/>
        <w:gridCol w:w="2563"/>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b/>
                <w:bCs/>
                <w:sz w:val="21"/>
                <w:szCs w:val="21"/>
                <w:u w:val="none"/>
                <w:lang w:val="en-US" w:eastAsia="zh-CN"/>
              </w:rPr>
            </w:pPr>
            <w:r>
              <w:rPr>
                <w:rFonts w:hint="eastAsia" w:ascii="宋体" w:hAnsi="宋体" w:eastAsia="宋体"/>
                <w:b/>
                <w:bCs/>
                <w:sz w:val="21"/>
                <w:szCs w:val="21"/>
                <w:u w:val="none"/>
                <w:lang w:val="en-US" w:eastAsia="zh-CN"/>
              </w:rPr>
              <w:t>项目</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b/>
                <w:bCs/>
                <w:sz w:val="21"/>
                <w:szCs w:val="21"/>
                <w:u w:val="none"/>
                <w:lang w:val="en-US" w:eastAsia="zh-CN"/>
              </w:rPr>
            </w:pPr>
            <w:r>
              <w:rPr>
                <w:rFonts w:hint="eastAsia" w:ascii="宋体" w:hAnsi="宋体" w:eastAsia="宋体"/>
                <w:b/>
                <w:bCs/>
                <w:sz w:val="21"/>
                <w:szCs w:val="21"/>
                <w:u w:val="none"/>
                <w:lang w:val="en-US" w:eastAsia="zh-CN"/>
              </w:rPr>
              <w:t>学校情况</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b/>
                <w:bCs/>
                <w:sz w:val="21"/>
                <w:szCs w:val="21"/>
                <w:u w:val="none"/>
                <w:lang w:val="en-US" w:eastAsia="zh-CN"/>
              </w:rPr>
            </w:pPr>
            <w:r>
              <w:rPr>
                <w:rFonts w:hint="eastAsia" w:ascii="宋体" w:hAnsi="宋体" w:eastAsia="宋体"/>
                <w:b/>
                <w:bCs/>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纸质图书总量（册）</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1197100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截至2018年11月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生均纸质图书（册）</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82.95</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截至2018年11月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当年新增纸质图书（册）</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112742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2017年新增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生均年进纸质图书（册）</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7.81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当年图书流通量（本次）</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31220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纸质期刊数量（份）</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1080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截至2018年11月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纸质期刊种类数（种）</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1080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截至2018年11月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数据库（个）</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21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截至2018年11月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电子图书总量（册）</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 xml:space="preserve"> 956052</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截至2018年11月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生均电子图书（册）</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66.25</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截至2018年11月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当年新增电子图书（册）</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25841</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2017年新增</w:t>
            </w:r>
          </w:p>
        </w:tc>
      </w:tr>
    </w:tbl>
    <w:p>
      <w:pPr>
        <w:widowControl w:val="0"/>
        <w:numPr>
          <w:ilvl w:val="0"/>
          <w:numId w:val="0"/>
        </w:numPr>
        <w:jc w:val="left"/>
        <w:rPr>
          <w:rFonts w:hint="eastAsia" w:ascii="宋体" w:hAnsi="宋体" w:eastAsia="宋体"/>
          <w:sz w:val="24"/>
          <w:szCs w:val="24"/>
          <w:u w:val="none"/>
        </w:rPr>
      </w:pPr>
    </w:p>
    <w:p>
      <w:pPr>
        <w:widowControl w:val="0"/>
        <w:numPr>
          <w:ilvl w:val="0"/>
          <w:numId w:val="0"/>
        </w:numPr>
        <w:jc w:val="left"/>
        <w:rPr>
          <w:rFonts w:hint="eastAsia" w:ascii="宋体" w:hAnsi="宋体" w:eastAsia="宋体"/>
          <w:sz w:val="24"/>
          <w:szCs w:val="24"/>
          <w:u w:val="none"/>
        </w:rPr>
      </w:pPr>
    </w:p>
    <w:p>
      <w:pPr>
        <w:widowControl w:val="0"/>
        <w:numPr>
          <w:ilvl w:val="0"/>
          <w:numId w:val="0"/>
        </w:numPr>
        <w:jc w:val="center"/>
        <w:rPr>
          <w:rFonts w:hint="eastAsia" w:ascii="宋体" w:hAnsi="宋体" w:eastAsia="宋体"/>
          <w:sz w:val="24"/>
          <w:szCs w:val="24"/>
          <w:u w:val="none"/>
          <w:lang w:eastAsia="zh-CN"/>
        </w:rPr>
      </w:pPr>
    </w:p>
    <w:p>
      <w:pPr>
        <w:jc w:val="center"/>
        <w:rPr>
          <w:rFonts w:hint="eastAsia" w:asciiTheme="majorEastAsia" w:hAnsiTheme="majorEastAsia" w:eastAsiaTheme="majorEastAsia"/>
          <w:b/>
          <w:bCs w:val="0"/>
          <w:sz w:val="24"/>
          <w:szCs w:val="24"/>
          <w:lang w:eastAsia="zh-CN"/>
        </w:rPr>
      </w:pPr>
      <w:r>
        <w:rPr>
          <w:rFonts w:hint="eastAsia" w:asciiTheme="majorEastAsia" w:hAnsiTheme="majorEastAsia" w:eastAsiaTheme="majorEastAsia"/>
          <w:b/>
          <w:bCs w:val="0"/>
          <w:sz w:val="24"/>
          <w:szCs w:val="24"/>
          <w:lang w:eastAsia="zh-CN"/>
        </w:rPr>
        <w:t>附表</w:t>
      </w:r>
      <w:r>
        <w:rPr>
          <w:rFonts w:hint="eastAsia" w:asciiTheme="majorEastAsia" w:hAnsiTheme="majorEastAsia" w:eastAsiaTheme="majorEastAsia"/>
          <w:b/>
          <w:bCs w:val="0"/>
          <w:sz w:val="24"/>
          <w:szCs w:val="24"/>
          <w:lang w:val="en-US" w:eastAsia="zh-CN"/>
        </w:rPr>
        <w:t xml:space="preserve">6 </w:t>
      </w:r>
      <w:r>
        <w:rPr>
          <w:rFonts w:hint="eastAsia" w:asciiTheme="majorEastAsia" w:hAnsiTheme="majorEastAsia" w:eastAsiaTheme="majorEastAsia"/>
          <w:b/>
          <w:bCs w:val="0"/>
          <w:sz w:val="24"/>
          <w:szCs w:val="24"/>
          <w:lang w:eastAsia="zh-CN"/>
        </w:rPr>
        <w:t>占地面积及行政用房情况</w:t>
      </w:r>
    </w:p>
    <w:tbl>
      <w:tblPr>
        <w:tblStyle w:val="14"/>
        <w:tblW w:w="8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70"/>
        <w:gridCol w:w="1044"/>
        <w:gridCol w:w="3240"/>
        <w:gridCol w:w="2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6454" w:type="dxa"/>
            <w:gridSpan w:val="3"/>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b/>
                <w:bCs/>
                <w:kern w:val="2"/>
                <w:sz w:val="24"/>
                <w:szCs w:val="24"/>
                <w:u w:val="none"/>
                <w:lang w:val="en-US" w:eastAsia="zh-CN" w:bidi="ar-SA"/>
              </w:rPr>
            </w:pPr>
            <w:r>
              <w:rPr>
                <w:rFonts w:hint="eastAsia" w:ascii="宋体" w:hAnsi="宋体" w:eastAsia="宋体" w:cstheme="minorBidi"/>
                <w:b/>
                <w:bCs/>
                <w:kern w:val="2"/>
                <w:sz w:val="24"/>
                <w:szCs w:val="24"/>
                <w:u w:val="none"/>
                <w:lang w:val="en-US" w:eastAsia="zh-CN" w:bidi="ar-SA"/>
              </w:rPr>
              <w:t>项目</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b/>
                <w:bCs/>
                <w:kern w:val="2"/>
                <w:sz w:val="24"/>
                <w:szCs w:val="24"/>
                <w:u w:val="none"/>
                <w:lang w:val="en-US" w:eastAsia="zh-CN" w:bidi="ar-SA"/>
              </w:rPr>
            </w:pPr>
            <w:r>
              <w:rPr>
                <w:rFonts w:hint="eastAsia" w:ascii="宋体" w:hAnsi="宋体" w:eastAsia="宋体" w:cstheme="minorBidi"/>
                <w:b/>
                <w:bCs/>
                <w:kern w:val="2"/>
                <w:sz w:val="24"/>
                <w:szCs w:val="24"/>
                <w:u w:val="none"/>
                <w:lang w:val="en-US" w:eastAsia="zh-CN" w:bidi="ar-SA"/>
              </w:rPr>
              <w:t>学校情况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1.占地面积</w:t>
            </w:r>
          </w:p>
        </w:tc>
        <w:tc>
          <w:tcPr>
            <w:tcW w:w="4284"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总占地面积（平方米）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846502.65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2170" w:type="dxa"/>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2.建筑面积</w:t>
            </w:r>
          </w:p>
        </w:tc>
        <w:tc>
          <w:tcPr>
            <w:tcW w:w="4284"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总建筑面积（平方米）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428065.52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2170" w:type="dxa"/>
            <w:vMerge w:val="restart"/>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3.教学行政用房</w:t>
            </w:r>
          </w:p>
        </w:tc>
        <w:tc>
          <w:tcPr>
            <w:tcW w:w="4284"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总面积（平方米）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231527.24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4284"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教学科研及辅助用房（平方米）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214347.81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1044" w:type="dxa"/>
            <w:vMerge w:val="restart"/>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其中：</w:t>
            </w:r>
          </w:p>
        </w:tc>
        <w:tc>
          <w:tcPr>
            <w:tcW w:w="32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教室（平方米）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69122.44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1044"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left"/>
              <w:rPr>
                <w:rFonts w:hint="eastAsia" w:ascii="宋体" w:hAnsi="宋体" w:eastAsia="宋体" w:cstheme="minorBidi"/>
                <w:kern w:val="2"/>
                <w:sz w:val="21"/>
                <w:szCs w:val="21"/>
                <w:u w:val="none"/>
                <w:lang w:val="en-US" w:eastAsia="zh-CN" w:bidi="ar-SA"/>
              </w:rPr>
            </w:pPr>
          </w:p>
        </w:tc>
        <w:tc>
          <w:tcPr>
            <w:tcW w:w="32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图书馆（平方米）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25535.07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1044"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left"/>
              <w:rPr>
                <w:rFonts w:hint="eastAsia" w:ascii="宋体" w:hAnsi="宋体" w:eastAsia="宋体" w:cstheme="minorBidi"/>
                <w:kern w:val="2"/>
                <w:sz w:val="21"/>
                <w:szCs w:val="21"/>
                <w:u w:val="none"/>
                <w:lang w:val="en-US" w:eastAsia="zh-CN" w:bidi="ar-SA"/>
              </w:rPr>
            </w:pPr>
          </w:p>
        </w:tc>
        <w:tc>
          <w:tcPr>
            <w:tcW w:w="32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实验室实习场所（平方米）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75664.71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1044"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left"/>
              <w:rPr>
                <w:rFonts w:hint="eastAsia" w:ascii="宋体" w:hAnsi="宋体" w:eastAsia="宋体" w:cstheme="minorBidi"/>
                <w:kern w:val="2"/>
                <w:sz w:val="21"/>
                <w:szCs w:val="21"/>
                <w:u w:val="none"/>
                <w:lang w:val="en-US" w:eastAsia="zh-CN" w:bidi="ar-SA"/>
              </w:rPr>
            </w:pPr>
          </w:p>
        </w:tc>
        <w:tc>
          <w:tcPr>
            <w:tcW w:w="32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专用科研用房（平方米）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16978.36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1044"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left"/>
              <w:rPr>
                <w:rFonts w:hint="eastAsia" w:ascii="宋体" w:hAnsi="宋体" w:eastAsia="宋体" w:cstheme="minorBidi"/>
                <w:kern w:val="2"/>
                <w:sz w:val="21"/>
                <w:szCs w:val="21"/>
                <w:u w:val="none"/>
                <w:lang w:val="en-US" w:eastAsia="zh-CN" w:bidi="ar-SA"/>
              </w:rPr>
            </w:pPr>
          </w:p>
        </w:tc>
        <w:tc>
          <w:tcPr>
            <w:tcW w:w="32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体育馆（平方米）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14592.89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1044"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left"/>
              <w:rPr>
                <w:rFonts w:hint="eastAsia" w:ascii="宋体" w:hAnsi="宋体" w:eastAsia="宋体" w:cstheme="minorBidi"/>
                <w:kern w:val="2"/>
                <w:sz w:val="21"/>
                <w:szCs w:val="21"/>
                <w:u w:val="none"/>
                <w:lang w:val="en-US" w:eastAsia="zh-CN" w:bidi="ar-SA"/>
              </w:rPr>
            </w:pPr>
          </w:p>
        </w:tc>
        <w:tc>
          <w:tcPr>
            <w:tcW w:w="324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会堂（平方米）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12454.34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4284"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行政用房（平方米）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17179.43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4284"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生均教学行政用房面积（平方米/生）</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vMerge w:val="restart"/>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4.运动场馆</w:t>
            </w:r>
          </w:p>
        </w:tc>
        <w:tc>
          <w:tcPr>
            <w:tcW w:w="4284"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面积（平方米）</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50861.5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2170" w:type="dxa"/>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pPr>
              <w:jc w:val="center"/>
              <w:rPr>
                <w:rFonts w:hint="eastAsia" w:ascii="宋体" w:hAnsi="宋体" w:eastAsia="宋体" w:cstheme="minorBidi"/>
                <w:kern w:val="2"/>
                <w:sz w:val="21"/>
                <w:szCs w:val="21"/>
                <w:u w:val="none"/>
                <w:lang w:val="en-US" w:eastAsia="zh-CN" w:bidi="ar-SA"/>
              </w:rPr>
            </w:pPr>
          </w:p>
        </w:tc>
        <w:tc>
          <w:tcPr>
            <w:tcW w:w="4284"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left"/>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运动场数量（个）</w:t>
            </w:r>
          </w:p>
        </w:tc>
        <w:tc>
          <w:tcPr>
            <w:tcW w:w="2532"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theme="minorBidi"/>
                <w:kern w:val="2"/>
                <w:sz w:val="21"/>
                <w:szCs w:val="21"/>
                <w:u w:val="none"/>
                <w:lang w:val="en-US" w:eastAsia="zh-CN" w:bidi="ar-SA"/>
              </w:rPr>
            </w:pPr>
            <w:r>
              <w:rPr>
                <w:rFonts w:hint="eastAsia" w:ascii="宋体" w:hAnsi="宋体" w:eastAsia="宋体" w:cstheme="minorBidi"/>
                <w:kern w:val="2"/>
                <w:sz w:val="21"/>
                <w:szCs w:val="21"/>
                <w:u w:val="none"/>
                <w:lang w:val="en-US" w:eastAsia="zh-CN" w:bidi="ar-SA"/>
              </w:rPr>
              <w:t>7</w:t>
            </w:r>
          </w:p>
        </w:tc>
      </w:tr>
    </w:tbl>
    <w:p>
      <w:pPr>
        <w:widowControl w:val="0"/>
        <w:numPr>
          <w:ilvl w:val="0"/>
          <w:numId w:val="0"/>
        </w:numPr>
        <w:jc w:val="left"/>
        <w:rPr>
          <w:rFonts w:hint="eastAsia" w:ascii="宋体" w:hAnsi="宋体" w:eastAsia="宋体"/>
          <w:sz w:val="24"/>
          <w:szCs w:val="24"/>
          <w:u w:val="none"/>
        </w:rPr>
      </w:pPr>
    </w:p>
    <w:p>
      <w:pPr>
        <w:jc w:val="center"/>
        <w:rPr>
          <w:rFonts w:hint="eastAsia" w:asciiTheme="majorEastAsia" w:hAnsiTheme="majorEastAsia" w:eastAsiaTheme="majorEastAsia"/>
          <w:b/>
          <w:bCs w:val="0"/>
          <w:sz w:val="24"/>
          <w:szCs w:val="24"/>
          <w:lang w:eastAsia="zh-CN"/>
        </w:rPr>
      </w:pPr>
    </w:p>
    <w:p>
      <w:pPr>
        <w:jc w:val="center"/>
        <w:rPr>
          <w:rFonts w:hint="eastAsia" w:asciiTheme="majorEastAsia" w:hAnsiTheme="majorEastAsia" w:eastAsiaTheme="majorEastAsia"/>
          <w:b/>
          <w:bCs w:val="0"/>
          <w:sz w:val="24"/>
          <w:szCs w:val="24"/>
          <w:lang w:eastAsia="zh-CN"/>
        </w:rPr>
      </w:pPr>
    </w:p>
    <w:p>
      <w:pPr>
        <w:jc w:val="center"/>
        <w:rPr>
          <w:rFonts w:hint="eastAsia" w:asciiTheme="majorEastAsia" w:hAnsiTheme="majorEastAsia" w:eastAsiaTheme="majorEastAsia"/>
          <w:b/>
          <w:bCs w:val="0"/>
          <w:sz w:val="24"/>
          <w:szCs w:val="24"/>
          <w:lang w:eastAsia="zh-CN"/>
        </w:rPr>
      </w:pPr>
    </w:p>
    <w:p>
      <w:pPr>
        <w:jc w:val="center"/>
        <w:rPr>
          <w:rFonts w:hint="eastAsia" w:asciiTheme="majorEastAsia" w:hAnsiTheme="majorEastAsia" w:eastAsiaTheme="majorEastAsia"/>
          <w:b/>
          <w:bCs w:val="0"/>
          <w:sz w:val="24"/>
          <w:szCs w:val="24"/>
          <w:lang w:eastAsia="zh-CN"/>
        </w:rPr>
      </w:pPr>
    </w:p>
    <w:p>
      <w:pPr>
        <w:jc w:val="center"/>
        <w:rPr>
          <w:rFonts w:hint="eastAsia" w:asciiTheme="majorEastAsia" w:hAnsiTheme="majorEastAsia" w:eastAsiaTheme="majorEastAsia"/>
          <w:b/>
          <w:bCs w:val="0"/>
          <w:sz w:val="24"/>
          <w:szCs w:val="24"/>
          <w:lang w:eastAsia="zh-CN"/>
        </w:rPr>
      </w:pPr>
    </w:p>
    <w:p>
      <w:pPr>
        <w:jc w:val="center"/>
        <w:rPr>
          <w:rFonts w:hint="eastAsia" w:asciiTheme="majorEastAsia" w:hAnsiTheme="majorEastAsia" w:eastAsiaTheme="majorEastAsia"/>
          <w:b/>
          <w:bCs w:val="0"/>
          <w:sz w:val="24"/>
          <w:szCs w:val="24"/>
          <w:lang w:val="en-US" w:eastAsia="zh-CN"/>
        </w:rPr>
      </w:pPr>
    </w:p>
    <w:p>
      <w:pPr>
        <w:jc w:val="center"/>
        <w:rPr>
          <w:rFonts w:hint="eastAsia" w:ascii="宋体" w:hAnsi="宋体" w:eastAsia="宋体"/>
          <w:b/>
          <w:bCs w:val="0"/>
          <w:sz w:val="24"/>
          <w:szCs w:val="24"/>
          <w:u w:val="none"/>
        </w:rPr>
      </w:pPr>
      <w:r>
        <w:rPr>
          <w:rFonts w:hint="eastAsia" w:asciiTheme="majorEastAsia" w:hAnsiTheme="majorEastAsia" w:eastAsiaTheme="majorEastAsia"/>
          <w:b/>
          <w:bCs w:val="0"/>
          <w:sz w:val="24"/>
          <w:szCs w:val="24"/>
          <w:lang w:val="en-US" w:eastAsia="zh-CN"/>
        </w:rPr>
        <w:t xml:space="preserve">附表7  </w:t>
      </w:r>
      <w:r>
        <w:rPr>
          <w:rFonts w:hint="eastAsia" w:asciiTheme="majorEastAsia" w:hAnsiTheme="majorEastAsia" w:eastAsiaTheme="majorEastAsia"/>
          <w:b/>
          <w:bCs w:val="0"/>
          <w:sz w:val="24"/>
          <w:szCs w:val="24"/>
        </w:rPr>
        <w:t>教学经费</w:t>
      </w:r>
      <w:r>
        <w:rPr>
          <w:rFonts w:hint="eastAsia" w:asciiTheme="majorEastAsia" w:hAnsiTheme="majorEastAsia" w:eastAsiaTheme="majorEastAsia"/>
          <w:b/>
          <w:bCs w:val="0"/>
          <w:sz w:val="24"/>
          <w:szCs w:val="24"/>
          <w:lang w:eastAsia="zh-CN"/>
        </w:rPr>
        <w:t>情况</w:t>
      </w:r>
    </w:p>
    <w:tbl>
      <w:tblPr>
        <w:tblStyle w:val="14"/>
        <w:tblW w:w="8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4"/>
        <w:gridCol w:w="2124"/>
        <w:gridCol w:w="2401"/>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学校情况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学校教育经费总额（万元）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18374.90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教学经费总额（万元）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学校年度教学改革与建设专项经费（万元）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教育事业收入</w:t>
            </w:r>
          </w:p>
        </w:tc>
        <w:tc>
          <w:tcPr>
            <w:tcW w:w="4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教育事业收入总计（万元）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15536.53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本科生生均拨款总额</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其中：国家（万元）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地方（万元）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本科学费收入（万元）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12522.63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教改专项拨款（万元）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教学日常运行支出</w:t>
            </w:r>
          </w:p>
        </w:tc>
        <w:tc>
          <w:tcPr>
            <w:tcW w:w="4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总额（万元）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教学日常支出占经常性预算内教育事业费拨款与本科学费收入之和的比例（%）</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生均教学日常运行支出（元）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1490.49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教学改革支出（万元）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专业建设支出（万元）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实践教学支出（万元）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生均实践教学经费（元）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思政建设经费支出（万元）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3.32</w:t>
            </w:r>
          </w:p>
        </w:tc>
      </w:tr>
    </w:tbl>
    <w:p>
      <w:pPr>
        <w:jc w:val="center"/>
        <w:rPr>
          <w:rFonts w:hint="eastAsia" w:asciiTheme="majorEastAsia" w:hAnsiTheme="majorEastAsia" w:eastAsiaTheme="majorEastAsia"/>
          <w:b/>
          <w:bCs w:val="0"/>
          <w:sz w:val="24"/>
          <w:szCs w:val="24"/>
          <w:lang w:eastAsia="zh-CN"/>
        </w:rPr>
      </w:pPr>
    </w:p>
    <w:p>
      <w:pPr>
        <w:jc w:val="center"/>
        <w:rPr>
          <w:rFonts w:hint="eastAsia" w:asciiTheme="majorEastAsia" w:hAnsiTheme="majorEastAsia" w:eastAsiaTheme="majorEastAsia"/>
          <w:b/>
          <w:bCs w:val="0"/>
          <w:sz w:val="24"/>
          <w:szCs w:val="24"/>
          <w:lang w:eastAsia="zh-CN"/>
        </w:rPr>
      </w:pPr>
      <w:r>
        <w:rPr>
          <w:rFonts w:hint="eastAsia" w:asciiTheme="majorEastAsia" w:hAnsiTheme="majorEastAsia" w:eastAsiaTheme="majorEastAsia"/>
          <w:b/>
          <w:bCs w:val="0"/>
          <w:sz w:val="24"/>
          <w:szCs w:val="24"/>
          <w:lang w:eastAsia="zh-CN"/>
        </w:rPr>
        <w:t>附表</w:t>
      </w:r>
      <w:r>
        <w:rPr>
          <w:rFonts w:hint="eastAsia" w:asciiTheme="majorEastAsia" w:hAnsiTheme="majorEastAsia" w:eastAsiaTheme="majorEastAsia"/>
          <w:b/>
          <w:bCs w:val="0"/>
          <w:sz w:val="24"/>
          <w:szCs w:val="24"/>
          <w:lang w:val="en-US" w:eastAsia="zh-CN"/>
        </w:rPr>
        <w:t xml:space="preserve">8 </w:t>
      </w:r>
      <w:r>
        <w:rPr>
          <w:rFonts w:hint="eastAsia" w:asciiTheme="majorEastAsia" w:hAnsiTheme="majorEastAsia" w:eastAsiaTheme="majorEastAsia"/>
          <w:b/>
          <w:bCs w:val="0"/>
          <w:sz w:val="24"/>
          <w:szCs w:val="24"/>
          <w:lang w:eastAsia="zh-CN"/>
        </w:rPr>
        <w:t>教授、副教授讲授本科课程情况</w:t>
      </w:r>
    </w:p>
    <w:tbl>
      <w:tblPr>
        <w:tblStyle w:val="14"/>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1630"/>
        <w:gridCol w:w="796"/>
        <w:gridCol w:w="806"/>
        <w:gridCol w:w="806"/>
        <w:gridCol w:w="854"/>
        <w:gridCol w:w="814"/>
        <w:gridCol w:w="941"/>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类别</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授课人数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百分比（%）</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课程门次（门次）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百分比（％）</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课程门数（门）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学校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3321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640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教授</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授课教授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42.42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其中：公共必修课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9.09</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公共选修课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副教授</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授课副教授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63.64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其中：公共必修课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公共选修课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专业课</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w:t>
            </w:r>
          </w:p>
        </w:tc>
      </w:tr>
    </w:tbl>
    <w:p>
      <w:pPr>
        <w:widowControl w:val="0"/>
        <w:numPr>
          <w:ilvl w:val="0"/>
          <w:numId w:val="0"/>
        </w:numPr>
        <w:jc w:val="left"/>
        <w:rPr>
          <w:rFonts w:hint="eastAsia" w:ascii="宋体" w:hAnsi="宋体" w:eastAsia="宋体"/>
          <w:sz w:val="24"/>
          <w:szCs w:val="24"/>
          <w:u w:val="none"/>
        </w:rPr>
      </w:pPr>
    </w:p>
    <w:p>
      <w:pPr>
        <w:widowControl w:val="0"/>
        <w:numPr>
          <w:ilvl w:val="0"/>
          <w:numId w:val="0"/>
        </w:numPr>
        <w:jc w:val="left"/>
        <w:rPr>
          <w:rFonts w:hint="eastAsia" w:ascii="宋体" w:hAnsi="宋体" w:eastAsia="宋体"/>
          <w:sz w:val="24"/>
          <w:szCs w:val="24"/>
          <w:u w:val="none"/>
        </w:rPr>
      </w:pPr>
    </w:p>
    <w:p>
      <w:pPr>
        <w:widowControl w:val="0"/>
        <w:numPr>
          <w:ilvl w:val="0"/>
          <w:numId w:val="0"/>
        </w:numPr>
        <w:jc w:val="left"/>
        <w:rPr>
          <w:rFonts w:hint="eastAsia" w:ascii="宋体" w:hAnsi="宋体" w:eastAsia="宋体"/>
          <w:sz w:val="24"/>
          <w:szCs w:val="24"/>
          <w:u w:val="none"/>
        </w:rPr>
      </w:pPr>
    </w:p>
    <w:p>
      <w:pPr>
        <w:widowControl w:val="0"/>
        <w:numPr>
          <w:ilvl w:val="0"/>
          <w:numId w:val="0"/>
        </w:numPr>
        <w:jc w:val="center"/>
        <w:rPr>
          <w:rFonts w:hint="eastAsia" w:ascii="宋体" w:hAnsi="宋体" w:eastAsia="宋体"/>
          <w:b/>
          <w:bCs/>
          <w:sz w:val="24"/>
          <w:szCs w:val="24"/>
          <w:u w:val="none"/>
          <w:lang w:eastAsia="zh-CN"/>
        </w:rPr>
      </w:pPr>
    </w:p>
    <w:p>
      <w:pPr>
        <w:widowControl w:val="0"/>
        <w:numPr>
          <w:ilvl w:val="0"/>
          <w:numId w:val="0"/>
        </w:numPr>
        <w:jc w:val="center"/>
        <w:rPr>
          <w:rFonts w:hint="eastAsia" w:ascii="宋体" w:hAnsi="宋体" w:eastAsia="宋体"/>
          <w:b/>
          <w:bCs/>
          <w:sz w:val="24"/>
          <w:szCs w:val="24"/>
          <w:u w:val="none"/>
          <w:lang w:eastAsia="zh-CN"/>
        </w:rPr>
      </w:pPr>
    </w:p>
    <w:p>
      <w:pPr>
        <w:widowControl w:val="0"/>
        <w:numPr>
          <w:ilvl w:val="0"/>
          <w:numId w:val="0"/>
        </w:numPr>
        <w:jc w:val="center"/>
        <w:rPr>
          <w:rFonts w:hint="eastAsia" w:ascii="宋体" w:hAnsi="宋体" w:eastAsia="宋体"/>
          <w:b/>
          <w:bCs/>
          <w:sz w:val="24"/>
          <w:szCs w:val="24"/>
          <w:u w:val="none"/>
          <w:lang w:eastAsia="zh-CN"/>
        </w:rPr>
      </w:pPr>
    </w:p>
    <w:p>
      <w:pPr>
        <w:widowControl w:val="0"/>
        <w:numPr>
          <w:ilvl w:val="0"/>
          <w:numId w:val="0"/>
        </w:numPr>
        <w:jc w:val="center"/>
        <w:rPr>
          <w:rFonts w:hint="eastAsia" w:ascii="宋体" w:hAnsi="宋体" w:eastAsia="宋体"/>
          <w:b/>
          <w:bCs/>
          <w:sz w:val="24"/>
          <w:szCs w:val="24"/>
          <w:u w:val="none"/>
          <w:lang w:val="en-US" w:eastAsia="zh-CN"/>
        </w:rPr>
      </w:pPr>
      <w:r>
        <w:rPr>
          <w:rFonts w:hint="eastAsia" w:ascii="宋体" w:hAnsi="宋体" w:eastAsia="宋体"/>
          <w:b/>
          <w:bCs/>
          <w:sz w:val="24"/>
          <w:szCs w:val="24"/>
          <w:u w:val="none"/>
          <w:lang w:eastAsia="zh-CN"/>
        </w:rPr>
        <w:t>附表</w:t>
      </w:r>
      <w:r>
        <w:rPr>
          <w:rFonts w:hint="eastAsia" w:ascii="宋体" w:hAnsi="宋体" w:eastAsia="宋体"/>
          <w:b/>
          <w:bCs/>
          <w:sz w:val="24"/>
          <w:szCs w:val="24"/>
          <w:u w:val="none"/>
          <w:lang w:val="en-US" w:eastAsia="zh-CN"/>
        </w:rPr>
        <w:t xml:space="preserve"> 9   毕业生就业情况</w:t>
      </w:r>
    </w:p>
    <w:tbl>
      <w:tblPr>
        <w:tblStyle w:val="14"/>
        <w:tblW w:w="8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4"/>
        <w:gridCol w:w="902"/>
        <w:gridCol w:w="1747"/>
        <w:gridCol w:w="893"/>
        <w:gridCol w:w="1008"/>
        <w:gridCol w:w="756"/>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44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1.应届毕业生升学基本情况（人）</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免试推荐研究生</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考研录取</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总数</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考取本校</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考取外校</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出国（境）留学</w:t>
            </w:r>
          </w:p>
        </w:tc>
        <w:tc>
          <w:tcPr>
            <w:tcW w:w="38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 应届毕业生就业基本情况（人）</w:t>
            </w:r>
          </w:p>
        </w:tc>
        <w:tc>
          <w:tcPr>
            <w:tcW w:w="26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就业去向</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学校所在区域总数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学校非所在地区域总数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75.77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政府机构</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67.18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参加国家地方项目就业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升学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灵活就业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自主创业</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5"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0.06</w:t>
            </w:r>
          </w:p>
        </w:tc>
      </w:tr>
    </w:tbl>
    <w:p>
      <w:pPr>
        <w:widowControl w:val="0"/>
        <w:numPr>
          <w:ilvl w:val="0"/>
          <w:numId w:val="0"/>
        </w:numPr>
        <w:jc w:val="left"/>
        <w:rPr>
          <w:rFonts w:hint="eastAsia" w:ascii="宋体" w:hAnsi="宋体" w:eastAsia="宋体"/>
          <w:sz w:val="24"/>
          <w:szCs w:val="24"/>
          <w:u w:val="none"/>
        </w:rPr>
      </w:pPr>
    </w:p>
    <w:p>
      <w:pPr>
        <w:widowControl w:val="0"/>
        <w:numPr>
          <w:ilvl w:val="0"/>
          <w:numId w:val="0"/>
        </w:numPr>
        <w:jc w:val="left"/>
        <w:rPr>
          <w:rFonts w:hint="eastAsia" w:ascii="宋体" w:hAnsi="宋体" w:eastAsia="宋体"/>
          <w:sz w:val="24"/>
          <w:szCs w:val="24"/>
          <w:u w:val="none"/>
        </w:rPr>
      </w:pPr>
    </w:p>
    <w:p>
      <w:pPr>
        <w:jc w:val="left"/>
        <w:rPr>
          <w:u w:val="none"/>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F0"/>
    <w:rsid w:val="00052A6B"/>
    <w:rsid w:val="00272916"/>
    <w:rsid w:val="003F368C"/>
    <w:rsid w:val="00444FA5"/>
    <w:rsid w:val="00496384"/>
    <w:rsid w:val="00647E79"/>
    <w:rsid w:val="00707FA4"/>
    <w:rsid w:val="007B601E"/>
    <w:rsid w:val="00A043A1"/>
    <w:rsid w:val="00D52F5D"/>
    <w:rsid w:val="00D5660C"/>
    <w:rsid w:val="00DE23D3"/>
    <w:rsid w:val="00E475B9"/>
    <w:rsid w:val="00F762F0"/>
    <w:rsid w:val="014B74C4"/>
    <w:rsid w:val="0174394E"/>
    <w:rsid w:val="01D355CB"/>
    <w:rsid w:val="047B2C6F"/>
    <w:rsid w:val="04C224D0"/>
    <w:rsid w:val="06464611"/>
    <w:rsid w:val="0684065D"/>
    <w:rsid w:val="07475135"/>
    <w:rsid w:val="07B2417A"/>
    <w:rsid w:val="087A40C4"/>
    <w:rsid w:val="08E47039"/>
    <w:rsid w:val="09A535BE"/>
    <w:rsid w:val="09B26FB7"/>
    <w:rsid w:val="0AC008AA"/>
    <w:rsid w:val="0AF018AA"/>
    <w:rsid w:val="0B0B4C42"/>
    <w:rsid w:val="0B913F2B"/>
    <w:rsid w:val="0D447A99"/>
    <w:rsid w:val="0D734ED6"/>
    <w:rsid w:val="0F2D06ED"/>
    <w:rsid w:val="0FE02634"/>
    <w:rsid w:val="104A5F3F"/>
    <w:rsid w:val="11175D8E"/>
    <w:rsid w:val="121433D8"/>
    <w:rsid w:val="13273875"/>
    <w:rsid w:val="142F1E85"/>
    <w:rsid w:val="1535612D"/>
    <w:rsid w:val="15E81A5B"/>
    <w:rsid w:val="179B6B6A"/>
    <w:rsid w:val="18D27D49"/>
    <w:rsid w:val="18D54D08"/>
    <w:rsid w:val="1900385D"/>
    <w:rsid w:val="1A56429C"/>
    <w:rsid w:val="1B464A16"/>
    <w:rsid w:val="1BD8229A"/>
    <w:rsid w:val="1D883E0B"/>
    <w:rsid w:val="1DE81554"/>
    <w:rsid w:val="1E302763"/>
    <w:rsid w:val="1E9D0EA7"/>
    <w:rsid w:val="20B53A25"/>
    <w:rsid w:val="20BA3C7E"/>
    <w:rsid w:val="21A9647D"/>
    <w:rsid w:val="22A01808"/>
    <w:rsid w:val="245803F6"/>
    <w:rsid w:val="248317D2"/>
    <w:rsid w:val="24873F4A"/>
    <w:rsid w:val="25601C5D"/>
    <w:rsid w:val="26141F2E"/>
    <w:rsid w:val="261D2339"/>
    <w:rsid w:val="26A10795"/>
    <w:rsid w:val="26A82620"/>
    <w:rsid w:val="283A2FA0"/>
    <w:rsid w:val="292C6BC8"/>
    <w:rsid w:val="2A40415D"/>
    <w:rsid w:val="2A944119"/>
    <w:rsid w:val="2AAC6A38"/>
    <w:rsid w:val="2AC45C07"/>
    <w:rsid w:val="2C2439F3"/>
    <w:rsid w:val="2C966507"/>
    <w:rsid w:val="2D7B5C42"/>
    <w:rsid w:val="2D8A44CF"/>
    <w:rsid w:val="2DCA5F09"/>
    <w:rsid w:val="2FCB5614"/>
    <w:rsid w:val="2FFA05E0"/>
    <w:rsid w:val="30A669A9"/>
    <w:rsid w:val="311817BE"/>
    <w:rsid w:val="31D107CA"/>
    <w:rsid w:val="324F2827"/>
    <w:rsid w:val="32A624A3"/>
    <w:rsid w:val="33467E75"/>
    <w:rsid w:val="33CB3CD6"/>
    <w:rsid w:val="344D726D"/>
    <w:rsid w:val="35CD5512"/>
    <w:rsid w:val="381D7B7E"/>
    <w:rsid w:val="384F38EE"/>
    <w:rsid w:val="38781114"/>
    <w:rsid w:val="399950AD"/>
    <w:rsid w:val="3B3773B6"/>
    <w:rsid w:val="3E2C2B06"/>
    <w:rsid w:val="3EDB54F2"/>
    <w:rsid w:val="3FA83CB8"/>
    <w:rsid w:val="3FD04ED6"/>
    <w:rsid w:val="40010FF6"/>
    <w:rsid w:val="40294C5E"/>
    <w:rsid w:val="40662436"/>
    <w:rsid w:val="40890F05"/>
    <w:rsid w:val="40AE27EE"/>
    <w:rsid w:val="41A2704D"/>
    <w:rsid w:val="42F539C1"/>
    <w:rsid w:val="435C1D13"/>
    <w:rsid w:val="436A3865"/>
    <w:rsid w:val="458F66A7"/>
    <w:rsid w:val="45B51C0E"/>
    <w:rsid w:val="481225C2"/>
    <w:rsid w:val="49A039FE"/>
    <w:rsid w:val="4A616651"/>
    <w:rsid w:val="4B092DFA"/>
    <w:rsid w:val="4B7D5A91"/>
    <w:rsid w:val="4BD55C79"/>
    <w:rsid w:val="4C0B7D3A"/>
    <w:rsid w:val="4C401A79"/>
    <w:rsid w:val="4DBA6F64"/>
    <w:rsid w:val="4F364EF7"/>
    <w:rsid w:val="4F8376F0"/>
    <w:rsid w:val="506D43F5"/>
    <w:rsid w:val="509A4A8A"/>
    <w:rsid w:val="527E7E51"/>
    <w:rsid w:val="52E15471"/>
    <w:rsid w:val="53546DBE"/>
    <w:rsid w:val="54052CA4"/>
    <w:rsid w:val="54CC08B6"/>
    <w:rsid w:val="54CE0163"/>
    <w:rsid w:val="56AF0132"/>
    <w:rsid w:val="56D44C32"/>
    <w:rsid w:val="57371A88"/>
    <w:rsid w:val="57FE34E9"/>
    <w:rsid w:val="594070AA"/>
    <w:rsid w:val="5B103456"/>
    <w:rsid w:val="5B333823"/>
    <w:rsid w:val="5BC63D14"/>
    <w:rsid w:val="5C246371"/>
    <w:rsid w:val="5C3E3152"/>
    <w:rsid w:val="5EE45ABB"/>
    <w:rsid w:val="5FAB05DF"/>
    <w:rsid w:val="6048585B"/>
    <w:rsid w:val="61224C04"/>
    <w:rsid w:val="613F295B"/>
    <w:rsid w:val="618F0379"/>
    <w:rsid w:val="648A55FC"/>
    <w:rsid w:val="650D4CE9"/>
    <w:rsid w:val="65AA7428"/>
    <w:rsid w:val="67362270"/>
    <w:rsid w:val="67FA1B00"/>
    <w:rsid w:val="697715D4"/>
    <w:rsid w:val="69E257C9"/>
    <w:rsid w:val="69FE0AE3"/>
    <w:rsid w:val="6C097EF5"/>
    <w:rsid w:val="6C1C1380"/>
    <w:rsid w:val="6CB64204"/>
    <w:rsid w:val="6CFF3DAC"/>
    <w:rsid w:val="6D726B17"/>
    <w:rsid w:val="6E4C15EC"/>
    <w:rsid w:val="6E747858"/>
    <w:rsid w:val="70A44605"/>
    <w:rsid w:val="71353E9E"/>
    <w:rsid w:val="726A6F68"/>
    <w:rsid w:val="733A06B7"/>
    <w:rsid w:val="7640785E"/>
    <w:rsid w:val="76B63876"/>
    <w:rsid w:val="76C57134"/>
    <w:rsid w:val="78F900B4"/>
    <w:rsid w:val="7A4054D4"/>
    <w:rsid w:val="7B746D10"/>
    <w:rsid w:val="7C235144"/>
    <w:rsid w:val="7D707CE6"/>
    <w:rsid w:val="7E437454"/>
    <w:rsid w:val="7E680B66"/>
    <w:rsid w:val="7E7B530C"/>
    <w:rsid w:val="7E8C41F0"/>
    <w:rsid w:val="7EBE7BBF"/>
    <w:rsid w:val="7FA9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toc 3"/>
    <w:basedOn w:val="1"/>
    <w:next w:val="1"/>
    <w:semiHidden/>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3"/>
    <w:link w:val="9"/>
    <w:semiHidden/>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标题 1 Char"/>
    <w:basedOn w:val="13"/>
    <w:link w:val="2"/>
    <w:qFormat/>
    <w:uiPriority w:val="9"/>
    <w:rPr>
      <w:b/>
      <w:bCs/>
      <w:kern w:val="44"/>
      <w:sz w:val="44"/>
      <w:szCs w:val="44"/>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标题 3 Char"/>
    <w:basedOn w:val="13"/>
    <w:link w:val="4"/>
    <w:qFormat/>
    <w:uiPriority w:val="9"/>
    <w:rPr>
      <w:b/>
      <w:bCs/>
      <w:sz w:val="32"/>
      <w:szCs w:val="32"/>
    </w:rPr>
  </w:style>
  <w:style w:type="character" w:customStyle="1" w:styleId="21">
    <w:name w:val="批注框文本 Char"/>
    <w:basedOn w:val="13"/>
    <w:link w:val="7"/>
    <w:semiHidden/>
    <w:qFormat/>
    <w:uiPriority w:val="99"/>
    <w:rPr>
      <w:sz w:val="18"/>
      <w:szCs w:val="18"/>
    </w:rPr>
  </w:style>
  <w:style w:type="paragraph" w:customStyle="1" w:styleId="2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a:t>
                    </a:r>
                    <a:r>
                      <a:rPr altLang="en-US"/>
                      <a:t>个，占</a:t>
                    </a:r>
                    <a:r>
                      <a:rPr lang="en-US" altLang="zh-CN"/>
                      <a:t>60%</a:t>
                    </a:r>
                    <a:endParaRPr lang="en-US" altLang="zh-CN"/>
                  </a:p>
                </c:rich>
              </c:tx>
              <c:dLblPos val="outEnd"/>
              <c:showLegendKey val="0"/>
              <c:showVal val="0"/>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a:t>
                    </a:r>
                    <a:r>
                      <a:rPr altLang="en-US"/>
                      <a:t>个，占</a:t>
                    </a:r>
                    <a:r>
                      <a:rPr lang="en-US" altLang="zh-CN"/>
                      <a:t>24%</a:t>
                    </a:r>
                    <a:endParaRPr lang="en-US" altLang="zh-CN"/>
                  </a:p>
                </c:rich>
              </c:tx>
              <c:dLblPos val="outEnd"/>
              <c:showLegendKey val="0"/>
              <c:showVal val="0"/>
              <c:showCatName val="1"/>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a:t>
                    </a:r>
                    <a:r>
                      <a:rPr altLang="en-US"/>
                      <a:t>个，占</a:t>
                    </a:r>
                    <a:r>
                      <a:rPr lang="en-US" altLang="zh-CN"/>
                      <a:t>12%</a:t>
                    </a:r>
                    <a:endParaRPr lang="en-US" altLang="zh-CN"/>
                  </a:p>
                </c:rich>
              </c:tx>
              <c:dLblPos val="outEnd"/>
              <c:showLegendKey val="0"/>
              <c:showVal val="0"/>
              <c:showCatName val="1"/>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a:t>
                    </a:r>
                    <a:r>
                      <a:rPr altLang="en-US"/>
                      <a:t>个，占</a:t>
                    </a:r>
                    <a:r>
                      <a:rPr lang="en-US" altLang="zh-CN"/>
                      <a:t>4%</a:t>
                    </a:r>
                    <a:endParaRPr lang="en-US" altLang="zh-CN"/>
                  </a:p>
                </c:rich>
              </c:tx>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工学类</c:v>
                </c:pt>
                <c:pt idx="1">
                  <c:v>管理学类</c:v>
                </c:pt>
                <c:pt idx="2">
                  <c:v>艺术学类</c:v>
                </c:pt>
                <c:pt idx="3">
                  <c:v>经济学类</c:v>
                </c:pt>
              </c:strCache>
            </c:strRef>
          </c:cat>
          <c:val>
            <c:numRef>
              <c:f>Sheet1!$B$2:$B$5</c:f>
              <c:numCache>
                <c:formatCode>General</c:formatCode>
                <c:ptCount val="4"/>
                <c:pt idx="0">
                  <c:v>15</c:v>
                </c:pt>
                <c:pt idx="1">
                  <c:v>6</c:v>
                </c:pt>
                <c:pt idx="2">
                  <c:v>3</c:v>
                </c:pt>
                <c:pt idx="3">
                  <c:v>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62</Words>
  <Characters>355</Characters>
  <Lines>2</Lines>
  <Paragraphs>1</Paragraphs>
  <TotalTime>13</TotalTime>
  <ScaleCrop>false</ScaleCrop>
  <LinksUpToDate>false</LinksUpToDate>
  <CharactersWithSpaces>416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2018-11-21T03:40:00Z</dcterms:created>
  <dc:creator>123</dc:creator>
  <cp:lastModifiedBy>不戒了1394682023</cp:lastModifiedBy>
  <cp:lastPrinted>2018-12-20T09:26:15Z</cp:lastPrinted>
  <dcterms:modified xsi:type="dcterms:W3CDTF">2018-12-20T09:54:03Z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