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A2" w:rsidRPr="000D6DD8" w:rsidRDefault="00AA4FA2" w:rsidP="00AA4FA2">
      <w:pPr>
        <w:pStyle w:val="1"/>
        <w:jc w:val="center"/>
        <w:rPr>
          <w:rFonts w:ascii="华文中宋" w:eastAsia="华文中宋" w:hAnsi="华文中宋"/>
          <w:color w:val="000000" w:themeColor="text1"/>
          <w:sz w:val="36"/>
          <w:szCs w:val="36"/>
        </w:rPr>
      </w:pPr>
      <w:r w:rsidRPr="000D6DD8">
        <w:rPr>
          <w:rFonts w:ascii="华文中宋" w:eastAsia="华文中宋" w:hAnsi="华文中宋" w:hint="eastAsia"/>
          <w:color w:val="000000" w:themeColor="text1"/>
          <w:sz w:val="36"/>
          <w:szCs w:val="36"/>
        </w:rPr>
        <w:t>高等教育部分</w:t>
      </w:r>
      <w:r w:rsidRPr="000D6DD8">
        <w:rPr>
          <w:rFonts w:ascii="华文中宋" w:eastAsia="华文中宋" w:hAnsi="华文中宋"/>
          <w:color w:val="000000" w:themeColor="text1"/>
          <w:sz w:val="36"/>
          <w:szCs w:val="36"/>
        </w:rPr>
        <w:t>常见问题答疑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、高等教育（经费统计）</w:t>
      </w:r>
      <w:proofErr w:type="gramStart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表如何</w:t>
      </w:r>
      <w:proofErr w:type="gramEnd"/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填写，统计时间是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什么？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A：高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等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教育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经费统计表中所有的数据都来自于全国教育经费统计年报，请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根据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学校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2017年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报送的教育经费统计年报填写，报告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期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是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2016年1月1日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2016年12月31日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2、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经费统计表中年初学生数是只统计高职阶段么？我们是高职院校，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16年开始财务上报数据已经按照上级要求把它分为高职</w:t>
      </w:r>
      <w:proofErr w:type="gramStart"/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和中职两部分</w:t>
      </w:r>
      <w:proofErr w:type="gramEnd"/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数据分开报，现在这个表中是只统计高职的还是把中职的也统计进去？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A：只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统计高职的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3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、请问这个卓越计划培养人才数，是指进入了卓越计划的院校吗？卓越计划培养人才数指的是国家级、省级、还是校级，还是所有的？是当年</w:t>
      </w:r>
      <w:proofErr w:type="gramStart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值还是</w:t>
      </w:r>
      <w:proofErr w:type="gramEnd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历年的累计值？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A:卓越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计划培养人才数，是指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有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专业进入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了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卓越计划的院校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培养人才数是指省级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及以上。请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填写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2017年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卓越计划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毕业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生数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4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高等教育（校级)，序号10-11条中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建设项目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，指的是基础建设项目，还是科研项目？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br/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 xml:space="preserve">    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A：指基础建设项目。请参考《中西部高校基础能力建设工程》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5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、指标“国家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发改委支持地方高校建设项目数量（</w:t>
      </w:r>
      <w:proofErr w:type="gramStart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个</w:t>
      </w:r>
      <w:proofErr w:type="gramEnd"/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）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”对时间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期限有要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求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吗？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比如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之前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立项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的，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2017年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投入使用的算不算？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里的项目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指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国家发改委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下达的中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西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部高校基础能力建设工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lastRenderedPageBreak/>
        <w:t>程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（二期）中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的项目。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6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、什么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是部门、行业合作共建？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对于参与部门、行业合作这块，是学校自行判断，还是有标准界定的，是必须签约才算吗？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A：部门、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行业合作共建包括部省、部部（委）、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部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共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建，与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部门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、企业、行业、协会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等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的共建等。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参与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部门与行业合作共建以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签约为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准，未签约的不算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7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、合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作共建项目包括纵向和横向两个方面吗？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A：项目应是横向的。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8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、财政支持的</w:t>
      </w:r>
      <w:proofErr w:type="gramStart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特急需</w:t>
      </w:r>
      <w:proofErr w:type="gramEnd"/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专业，算不算参与部门、行业合作共建？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A：不算。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9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、对口支援一项中支援的形式是什么？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A:支援形式是指对方学校如何支援本校，包括项目合作、教师培养培训、学生联合培养等。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10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、高水平大学如何界定？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A：大家不用纠结高水平大学具体界定，只要有支援的高校，学校都要填写对口支援部分的信息。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“高水平大学”这一提法出自《关于加快中西部教育发展的指导意见》中，“形成阶梯式支援格局，第一阶梯由100所左右高水平大学支援中西部75所地方高校，第二阶梯由75所受援高校和部省共建高校支援中西部100所左右地方本科高校”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11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、什么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是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团队式支援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团队式支援是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指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多所高校联合支援一所或几所中西部高校。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lastRenderedPageBreak/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12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、接受支援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高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校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培训的教师人次和接受支援高校培养教师总数量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这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两个指标的统计时间是什么？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培养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和培训的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区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别什么？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培训时间有没有限定？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  <w:u w:color="FFFFFF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这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两个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指标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请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按2016年9月1日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2017年8月31日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之间的情况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统计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  <w:u w:color="FFFFFF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培养是指支援学校为本校定向培养或者联合培养教师，并获得支援学校的学位；培训是指支援学校对本校教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师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进行的培训指导，</w:t>
      </w:r>
      <w:r w:rsidRPr="000D6DD8">
        <w:rPr>
          <w:rFonts w:ascii="仿宋_GB2312" w:eastAsia="仿宋_GB2312"/>
          <w:color w:val="000000" w:themeColor="text1"/>
          <w:sz w:val="28"/>
          <w:szCs w:val="28"/>
          <w:u w:color="FFFFFF"/>
        </w:rPr>
        <w:t>培训时间没有限定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  <w:u w:color="FFFFFF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13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、接受过公派出国进修学习培训的专任教师数是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当年数还是累计数？</w:t>
      </w:r>
    </w:p>
    <w:p w:rsidR="00846176" w:rsidRPr="000D6DD8" w:rsidRDefault="00846176" w:rsidP="00846176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今年填报的统计时间为从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2016年9月1日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起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2017年9月1日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止</w:t>
      </w:r>
      <w:proofErr w:type="gramEnd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受过公派出国进修学习培训的专任教师数。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以后这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一指标的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统计时间都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是从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2016年9月1日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开始，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每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截止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时间往后顺延一年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一位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师接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受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过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几次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公派出国学习按一次统计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14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、“二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级学科数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”如何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统计？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A：二级学科主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要是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针对开展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研究生教育的学校而言的，如果没有招收研究生请填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0。没有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设硕士点的二级学科不统计在内。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级学科总数指具有招生资质的二级学科总和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含停止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招生的二级学科。减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少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的二级学科指停止招生的二级学科。调整数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=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增加数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+减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少数。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15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、学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校专业数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对有专科和本科的学校，是包括了本专科所有专业还是只是本科？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="0064707C"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专业调整是针</w:t>
      </w:r>
      <w:r w:rsidR="002660EE" w:rsidRPr="000D6DD8">
        <w:rPr>
          <w:rFonts w:ascii="仿宋_GB2312" w:eastAsia="仿宋_GB2312" w:hint="eastAsia"/>
          <w:color w:val="000000" w:themeColor="text1"/>
          <w:sz w:val="28"/>
          <w:szCs w:val="28"/>
        </w:rPr>
        <w:t>对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本科专业和高职专业调整而言的。学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校专业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总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指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具有招生资质的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总和，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含停止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招生的专业，减少的专业指停止招生的专业。调整数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=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增加数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+减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少数。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如果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学校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既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有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普通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本科专业又有高职专业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应分开计算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因为本科专业目录与高职专业目录是不同的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。填写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的时候本科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数与高职专业数之间用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“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.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”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分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隔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，比如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本科专业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15个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高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职专业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5个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，请填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写“15.05”，千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万不要写成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“15.5”，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如果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成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“15.5”系统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默认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成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“15.5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0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Q16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、实践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课时数达标的专业数参考标准是什么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根据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教育部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等七部委制定的《关于进一步加强高校实践育人工作的若干意见》，人文社会科学类本科专业不少于总学分（学时）的15%、理工农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医</w:t>
      </w:r>
      <w:proofErr w:type="gramEnd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类本科专业不少于25%、高职高专类专业不少于50%，师范类学生教育实践不少于一个学期，专业学位硕士研究生不少于半年。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17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、校级报表“如果是新建本科院校，是否通过本科评估”，如果以前未通过，最近一次又通过的话，怎么算？独立学院只搞过一次独立学士学位授予权的评估，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算吗？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A:只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要通过本科评估就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算通过。独立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学院的独立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学士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学位授予权评估也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算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Q18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、高等教育指标体系中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54-67项后边都有一个高职院校填写，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如果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学校是普通本科，是否所有的数据都要填成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-1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A：是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必须填写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“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-1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”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如果不填写无法提交。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Q19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、非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学校产权指什么？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  <w:u w:color="FFFFFF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A：非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学校产权指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学校独立使用或共同使用，使用年限在一年以上的不属于学校产权的办学资源。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20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、“各专业该学年教学总学时”“各专业该学年实习实训总学时数”两项指标该如何填报？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各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专业该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学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教学总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学时，是指各专业该学年三个年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级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教学学时累加之和，即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A专业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一年级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总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+A专业二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年级总学时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+A专业三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年级总学时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B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一年级总学时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B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年级总学时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B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专业三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年级总学时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+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……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专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实习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实训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总学时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数，是指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各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学年三个年级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实习实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训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学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时累加之和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与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教学总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学时计算方式相同。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各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专业该学年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教学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总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学时与各专业该学年实习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实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训总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学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时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是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总体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与部分的关系，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也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就是说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实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习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实训总学时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包含在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教学总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学时中。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21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、“年培训人时”指标如何填报？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这里的培训不是特指教师培训，是涵盖四类中职学校（职业高中、中等专业学校、成人中专和技工学校）和高职院校面向社会开展的培训，比如农民工、复转军人、新型职业农民、下岗工人、企业职工等群体的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培训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。年培训人时是指该年度培训的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所有人的培训学时累计之</w:t>
      </w:r>
      <w:proofErr w:type="gramStart"/>
      <w:r w:rsidRPr="000D6DD8">
        <w:rPr>
          <w:rFonts w:ascii="仿宋_GB2312" w:eastAsia="仿宋_GB2312"/>
          <w:color w:val="000000" w:themeColor="text1"/>
          <w:sz w:val="28"/>
          <w:szCs w:val="28"/>
        </w:rPr>
        <w:t>和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22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年培训经费到款额（元）</w:t>
      </w:r>
      <w:r w:rsidRPr="000D6DD8">
        <w:rPr>
          <w:rFonts w:ascii="仿宋_GB2312" w:eastAsia="仿宋_GB2312" w:hint="eastAsia"/>
          <w:b/>
          <w:color w:val="000000" w:themeColor="text1"/>
          <w:sz w:val="28"/>
          <w:szCs w:val="28"/>
          <w:shd w:val="clear" w:color="auto" w:fill="E2EFD9" w:themeFill="accent6" w:themeFillTint="33"/>
        </w:rPr>
        <w:t>怎么计算？这个钱是培训产生的钱还是财政给的补贴</w:t>
      </w:r>
      <w:r w:rsidRPr="000D6DD8">
        <w:rPr>
          <w:rFonts w:ascii="仿宋_GB2312" w:eastAsia="仿宋_GB2312"/>
          <w:b/>
          <w:color w:val="000000" w:themeColor="text1"/>
          <w:sz w:val="28"/>
          <w:szCs w:val="28"/>
          <w:shd w:val="clear" w:color="auto" w:fill="E2EFD9" w:themeFill="accent6" w:themeFillTint="33"/>
        </w:rPr>
        <w:t>?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A:培训经费到款额指中高职院校通过开展培训获得的经费，包括财政和非财政两部分，如财政给予的补贴、面向社会培训产生的收益等。个人、企业、社会组织支付给职业院校的培训费用以及政府委托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的财政性补贴，都计算在内。</w:t>
      </w:r>
    </w:p>
    <w:p w:rsidR="00AA4FA2" w:rsidRPr="000D6DD8" w:rsidRDefault="00AA4FA2" w:rsidP="00AA4FA2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23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、高等教育校级表中第69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项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“民族地区高校当年高层次岗位培训受益人次” 如何界定？</w:t>
      </w:r>
    </w:p>
    <w:p w:rsidR="00AA4FA2" w:rsidRPr="000D6DD8" w:rsidRDefault="00AA4FA2" w:rsidP="00AA4FA2">
      <w:pPr>
        <w:ind w:firstLineChars="200" w:firstLine="560"/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高层次岗位培训是指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民族地区高校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举办的，针对科级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及以上或中级职称及以上人群的培训。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统计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从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2016年9月1日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到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2017年8月31日高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层次岗位培训招生数。</w:t>
      </w:r>
    </w:p>
    <w:p w:rsidR="00AA4FA2" w:rsidRPr="000D6DD8" w:rsidRDefault="00AA4FA2" w:rsidP="00AA4FA2">
      <w:pPr>
        <w:ind w:firstLineChars="200" w:firstLine="562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24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、高等教育（校级）表中第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70项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民族地区高校当年继续教育受益学生数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如何界定？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当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年继续教育受益学生数是指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2016年9月1日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到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2017年8月31日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继续教育招生数。继续教育是面向</w:t>
      </w:r>
      <w:hyperlink r:id="rId7" w:tgtFrame="_blank" w:history="1">
        <w:r w:rsidRPr="000D6DD8">
          <w:rPr>
            <w:rFonts w:ascii="仿宋_GB2312" w:eastAsia="仿宋_GB2312" w:hAnsiTheme="minorEastAsia" w:cs="宋体"/>
            <w:color w:val="000000" w:themeColor="text1"/>
            <w:kern w:val="0"/>
            <w:sz w:val="28"/>
            <w:szCs w:val="28"/>
          </w:rPr>
          <w:t>学校教育</w:t>
        </w:r>
      </w:hyperlink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之后所有社会成员特别是成人的教育活动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是指已经脱离正规教育，已参加工作和负有成人责任的人所接受的各种各样的教育</w:t>
      </w:r>
      <w:r w:rsidRPr="000D6DD8">
        <w:rPr>
          <w:rFonts w:ascii="仿宋_GB2312" w:eastAsia="仿宋_GB2312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Pr="000D6DD8">
        <w:rPr>
          <w:rFonts w:ascii="仿宋_GB2312" w:eastAsia="仿宋_GB2312" w:hAnsiTheme="minorEastAsia" w:cs="宋体"/>
          <w:color w:val="000000" w:themeColor="text1"/>
          <w:kern w:val="0"/>
          <w:sz w:val="28"/>
          <w:szCs w:val="28"/>
        </w:rPr>
        <w:t>主要是对专业技术人员的知识和技能进行更新、补充、拓展和提高，进一步完善知识结构，提高创造力和专业技术水平。</w:t>
      </w:r>
    </w:p>
    <w:p w:rsidR="00AA4FA2" w:rsidRPr="000D6DD8" w:rsidRDefault="00AA4FA2" w:rsidP="00AA4FA2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Q25、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高等教育（校级）表中，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少数民族预科班和少数民族班的学生数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（序号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71-72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）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，数据的时间节点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是指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A：201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7年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9月招收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的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那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批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学生</w:t>
      </w:r>
      <w:proofErr w:type="gramEnd"/>
      <w:r w:rsidRPr="000D6DD8">
        <w:rPr>
          <w:rFonts w:ascii="仿宋_GB2312" w:eastAsia="仿宋_GB2312"/>
          <w:color w:val="000000" w:themeColor="text1"/>
          <w:sz w:val="28"/>
          <w:szCs w:val="28"/>
        </w:rPr>
        <w:t>数。</w:t>
      </w:r>
    </w:p>
    <w:p w:rsidR="00AA4FA2" w:rsidRPr="000D6DD8" w:rsidRDefault="00AA4FA2" w:rsidP="00AA4FA2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26、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高等教育（校级）表中（序号73-74），“公共管理人才培养计划”如何界定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 xml:space="preserve">？ 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/>
          <w:color w:val="000000" w:themeColor="text1"/>
          <w:sz w:val="28"/>
          <w:szCs w:val="28"/>
        </w:rPr>
        <w:t>A：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是专指《国务院办公厅关于加快中西部教育发展的指导意见》中的高层次双千人计划之一，具体是指从2016年起，面向西藏、新疆干部招生的由内地高校牵头组织教学，联合当地大专院校开设的公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共管理硕士项目。注：学校以往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公共管理硕士专业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及该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专业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人才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培养计划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招收的非西藏、新疆干部不纳入其中。</w:t>
      </w:r>
    </w:p>
    <w:p w:rsidR="00AA4FA2" w:rsidRPr="000D6DD8" w:rsidRDefault="00AA4FA2" w:rsidP="00AA4FA2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27、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高等教育（校级）表中的序号73、74，其中“公共管理人才培养计划累计培养公共管理硕士生数”的时间期限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是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从哪一年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到那一年？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：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本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次填报是指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从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计划实施以来到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2017年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秋季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的招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生数，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今后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统计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的累计数据都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是从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计划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实施开始，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每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截止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时间往后顺延一年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A4FA2" w:rsidRPr="000D6DD8" w:rsidRDefault="00AA4FA2" w:rsidP="00AA4FA2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28、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“继续实施中西部高校基础能力建设工程”中“生均教学科研及辅助用房面积达标高校比例”怎么解释？这个高校的口径是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 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？</w:t>
      </w:r>
    </w:p>
    <w:p w:rsidR="00AA4FA2" w:rsidRPr="000D6DD8" w:rsidRDefault="00AA4FA2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 某省生</w:t>
      </w:r>
      <w:proofErr w:type="gramStart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均教学</w:t>
      </w:r>
      <w:proofErr w:type="gramEnd"/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科研及辅助用房面积达标高校数量比上某省高校总数，即为该省达标高校比例。根据《中西部高等教育振兴计划》中相关文件计划重点支持建设中西部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23个省（自治区、直辖市）以及新疆生产建设兵团的100所地方高校的发展建设。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是否达标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可以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根据普通高校基本办学条件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指标标准测算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846176" w:rsidRPr="000D6DD8" w:rsidRDefault="00846176" w:rsidP="00846176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29、民族地区高校是否以委托培养、定向培养、订单式培养等形式为民族地区培养急需人才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。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这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里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的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培养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是指学历教育吗？</w:t>
      </w:r>
    </w:p>
    <w:p w:rsidR="00AA4FA2" w:rsidRPr="000D6DD8" w:rsidRDefault="00846176" w:rsidP="00AA4FA2">
      <w:pPr>
        <w:spacing w:line="360" w:lineRule="auto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 这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里的培养是指学历教育。</w:t>
      </w:r>
    </w:p>
    <w:p w:rsidR="00A9396F" w:rsidRPr="000D6DD8" w:rsidRDefault="003E3A1B" w:rsidP="008C570D">
      <w:pPr>
        <w:widowControl/>
        <w:spacing w:line="360" w:lineRule="auto"/>
        <w:ind w:firstLine="480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Q30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参与部门、行业合作共建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是否只要双方签订了战略合作协议的都算，同时该部分共建项目统计时间是指</w:t>
      </w:r>
      <w:r w:rsidR="00760C43"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 xml:space="preserve"> </w:t>
      </w:r>
      <w:r w:rsidR="00760C43"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016.8.31-2017.9.1之</w:t>
      </w:r>
      <w:r w:rsidR="00760C43"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间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还是2017.9.1之前所有的全部累计项目总数。</w:t>
      </w:r>
    </w:p>
    <w:p w:rsidR="003E3A1B" w:rsidRPr="000D6DD8" w:rsidRDefault="003E3A1B" w:rsidP="003E3A1B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A:</w:t>
      </w:r>
      <w:r w:rsidRPr="000D6DD8">
        <w:rPr>
          <w:color w:val="000000" w:themeColor="text1"/>
        </w:rPr>
        <w:t xml:space="preserve"> 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16年9月1日到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17年8月31日学年，正在实施的。</w:t>
      </w:r>
    </w:p>
    <w:p w:rsidR="003E3A1B" w:rsidRPr="000D6DD8" w:rsidRDefault="003E3A1B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Q31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接受高水平大学对口支援的所有指标统计的时间节点是什么时间？</w:t>
      </w:r>
    </w:p>
    <w:p w:rsidR="003E3A1B" w:rsidRPr="000D6DD8" w:rsidRDefault="003E3A1B" w:rsidP="003E3A1B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</w:t>
      </w:r>
      <w:r w:rsidRPr="000D6DD8">
        <w:rPr>
          <w:color w:val="000000" w:themeColor="text1"/>
        </w:rPr>
        <w:t xml:space="preserve"> 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16年9月1日到</w:t>
      </w: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20</w:t>
      </w:r>
      <w:r w:rsidRPr="000D6DD8">
        <w:rPr>
          <w:rFonts w:ascii="仿宋_GB2312" w:eastAsia="仿宋_GB2312"/>
          <w:color w:val="000000" w:themeColor="text1"/>
          <w:sz w:val="28"/>
          <w:szCs w:val="28"/>
        </w:rPr>
        <w:t>17年8月31日学年，正在实施的。</w:t>
      </w:r>
    </w:p>
    <w:p w:rsidR="003E3A1B" w:rsidRPr="000D6DD8" w:rsidRDefault="00B7138D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Q32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什么是省级艺术教育场馆活动室？</w:t>
      </w:r>
    </w:p>
    <w:p w:rsidR="00B7138D" w:rsidRPr="000D6DD8" w:rsidRDefault="00B7138D" w:rsidP="003E3A1B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A:面向全体学生</w:t>
      </w:r>
      <w:r w:rsidR="002F19EF" w:rsidRPr="000D6DD8">
        <w:rPr>
          <w:rFonts w:ascii="仿宋_GB2312" w:eastAsia="仿宋_GB2312" w:hint="eastAsia"/>
          <w:color w:val="000000" w:themeColor="text1"/>
          <w:sz w:val="28"/>
          <w:szCs w:val="28"/>
        </w:rPr>
        <w:t>/社会人员开放的本省艺术教育场馆、活动室。</w:t>
      </w:r>
    </w:p>
    <w:p w:rsidR="00CC3ED2" w:rsidRPr="000D6DD8" w:rsidRDefault="00CC3ED2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</w:t>
      </w:r>
      <w:r w:rsidR="00425C7F"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3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二级学科数量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是否可以广义地理解，将专业学位中的专业领域数统计入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二级学科数量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中？</w:t>
      </w:r>
    </w:p>
    <w:p w:rsidR="00425C7F" w:rsidRPr="000D6DD8" w:rsidRDefault="00425C7F" w:rsidP="003E3A1B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A:专业学位实际就是二级学科.</w:t>
      </w:r>
      <w:r w:rsidR="007E39B3" w:rsidRPr="000D6DD8">
        <w:rPr>
          <w:rFonts w:hint="eastAsia"/>
          <w:color w:val="000000" w:themeColor="text1"/>
        </w:rPr>
        <w:t xml:space="preserve"> </w:t>
      </w:r>
      <w:r w:rsidR="007E39B3" w:rsidRPr="000D6DD8">
        <w:rPr>
          <w:rFonts w:ascii="仿宋_GB2312" w:eastAsia="仿宋_GB2312" w:hint="eastAsia"/>
          <w:color w:val="000000" w:themeColor="text1"/>
          <w:sz w:val="28"/>
          <w:szCs w:val="28"/>
        </w:rPr>
        <w:t>工程硕士</w:t>
      </w:r>
      <w:r w:rsidR="00A46326" w:rsidRPr="000D6DD8">
        <w:rPr>
          <w:rFonts w:ascii="仿宋_GB2312" w:eastAsia="仿宋_GB2312" w:hint="eastAsia"/>
          <w:color w:val="000000" w:themeColor="text1"/>
          <w:sz w:val="28"/>
          <w:szCs w:val="28"/>
        </w:rPr>
        <w:t>请加括号</w:t>
      </w:r>
      <w:r w:rsidR="007E39B3" w:rsidRPr="000D6DD8">
        <w:rPr>
          <w:rFonts w:ascii="仿宋_GB2312" w:eastAsia="仿宋_GB2312" w:hint="eastAsia"/>
          <w:color w:val="000000" w:themeColor="text1"/>
          <w:sz w:val="28"/>
          <w:szCs w:val="28"/>
        </w:rPr>
        <w:t>注明</w:t>
      </w:r>
      <w:r w:rsidR="00A46326" w:rsidRPr="000D6DD8">
        <w:rPr>
          <w:rFonts w:ascii="仿宋_GB2312" w:eastAsia="仿宋_GB2312" w:hint="eastAsia"/>
          <w:color w:val="000000" w:themeColor="text1"/>
          <w:sz w:val="28"/>
          <w:szCs w:val="28"/>
        </w:rPr>
        <w:t>是</w:t>
      </w:r>
      <w:r w:rsidR="007E39B3" w:rsidRPr="000D6DD8">
        <w:rPr>
          <w:rFonts w:ascii="仿宋_GB2312" w:eastAsia="仿宋_GB2312" w:hint="eastAsia"/>
          <w:color w:val="000000" w:themeColor="text1"/>
          <w:sz w:val="28"/>
          <w:szCs w:val="28"/>
        </w:rPr>
        <w:t>什么方向的</w:t>
      </w:r>
      <w:r w:rsidR="00A46326" w:rsidRPr="000D6DD8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425C7F" w:rsidRPr="000D6DD8" w:rsidRDefault="00425C7F" w:rsidP="00425C7F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Q34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这个二级学科统计的时间节点是截止到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2017年9月吗？</w:t>
      </w:r>
    </w:p>
    <w:p w:rsidR="00425C7F" w:rsidRPr="000D6DD8" w:rsidRDefault="00425C7F" w:rsidP="00425C7F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A:是的。</w:t>
      </w:r>
    </w:p>
    <w:p w:rsidR="00425C7F" w:rsidRPr="000D6DD8" w:rsidRDefault="00425C7F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Q35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、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“是否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2000年以来新建本科院校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，我们是高职，填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02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还是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“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-1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”</w:t>
      </w:r>
      <w:r w:rsidRPr="000D6DD8"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？没有说明</w:t>
      </w: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.</w:t>
      </w:r>
    </w:p>
    <w:p w:rsidR="00425C7F" w:rsidRPr="000D6DD8" w:rsidRDefault="00425C7F" w:rsidP="003E3A1B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A:高职不用填写。</w:t>
      </w:r>
    </w:p>
    <w:p w:rsidR="002F19EF" w:rsidRPr="000D6DD8" w:rsidRDefault="002660EE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r w:rsidRPr="000D6DD8">
        <w:rPr>
          <w:rFonts w:ascii="仿宋_GB2312" w:eastAsia="仿宋_GB2312" w:hAnsiTheme="minorEastAsia" w:cs="宋体" w:hint="eastAsia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  <w:t>Q36.高等教育经费统计的那张表填的数据包括预科班吗？</w:t>
      </w:r>
    </w:p>
    <w:p w:rsidR="002660EE" w:rsidRPr="000D6DD8" w:rsidRDefault="002660EE" w:rsidP="002660EE">
      <w:pPr>
        <w:widowControl/>
        <w:spacing w:line="360" w:lineRule="auto"/>
        <w:ind w:firstLine="48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0D6DD8">
        <w:rPr>
          <w:rFonts w:ascii="仿宋_GB2312" w:eastAsia="仿宋_GB2312" w:hint="eastAsia"/>
          <w:color w:val="000000" w:themeColor="text1"/>
          <w:sz w:val="28"/>
          <w:szCs w:val="28"/>
        </w:rPr>
        <w:t>A:不包括。学生数：指学校由教育主管部门下达招生计划，并具有正式学籍的并进行学籍注册的学生，包括博士生、硕士生、普通本科生、普通高职高专生、函授夜大学生、来华留学生、中专学生等。</w:t>
      </w:r>
    </w:p>
    <w:p w:rsidR="002660EE" w:rsidRPr="000D6DD8" w:rsidRDefault="002660EE" w:rsidP="003E3A1B">
      <w:pPr>
        <w:widowControl/>
        <w:spacing w:line="360" w:lineRule="auto"/>
        <w:ind w:firstLine="480"/>
        <w:jc w:val="left"/>
        <w:rPr>
          <w:rFonts w:ascii="仿宋_GB2312" w:eastAsia="仿宋_GB2312" w:hAnsiTheme="minorEastAsia" w:cs="宋体"/>
          <w:b/>
          <w:color w:val="000000" w:themeColor="text1"/>
          <w:kern w:val="0"/>
          <w:sz w:val="28"/>
          <w:szCs w:val="28"/>
          <w:shd w:val="clear" w:color="auto" w:fill="E2EFD9" w:themeFill="accent6" w:themeFillTint="33"/>
        </w:rPr>
      </w:pPr>
      <w:bookmarkStart w:id="0" w:name="_GoBack"/>
      <w:bookmarkEnd w:id="0"/>
    </w:p>
    <w:sectPr w:rsidR="002660EE" w:rsidRPr="000D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7E" w:rsidRDefault="00EB637E" w:rsidP="00AA4FA2">
      <w:r>
        <w:separator/>
      </w:r>
    </w:p>
  </w:endnote>
  <w:endnote w:type="continuationSeparator" w:id="0">
    <w:p w:rsidR="00EB637E" w:rsidRDefault="00EB637E" w:rsidP="00AA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7E" w:rsidRDefault="00EB637E" w:rsidP="00AA4FA2">
      <w:r>
        <w:separator/>
      </w:r>
    </w:p>
  </w:footnote>
  <w:footnote w:type="continuationSeparator" w:id="0">
    <w:p w:rsidR="00EB637E" w:rsidRDefault="00EB637E" w:rsidP="00AA4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F9"/>
    <w:rsid w:val="000D6DD8"/>
    <w:rsid w:val="001256DF"/>
    <w:rsid w:val="002660EE"/>
    <w:rsid w:val="002F19EF"/>
    <w:rsid w:val="003E3A1B"/>
    <w:rsid w:val="004033DE"/>
    <w:rsid w:val="0041532F"/>
    <w:rsid w:val="00425C7F"/>
    <w:rsid w:val="00585EC0"/>
    <w:rsid w:val="0064707C"/>
    <w:rsid w:val="00680CFE"/>
    <w:rsid w:val="00716293"/>
    <w:rsid w:val="007253F9"/>
    <w:rsid w:val="00760C43"/>
    <w:rsid w:val="007E39B3"/>
    <w:rsid w:val="00846176"/>
    <w:rsid w:val="008C570D"/>
    <w:rsid w:val="00926A28"/>
    <w:rsid w:val="00A46326"/>
    <w:rsid w:val="00A9396F"/>
    <w:rsid w:val="00AA4FA2"/>
    <w:rsid w:val="00B7138D"/>
    <w:rsid w:val="00BA412A"/>
    <w:rsid w:val="00CC3ED2"/>
    <w:rsid w:val="00D354F9"/>
    <w:rsid w:val="00D9475F"/>
    <w:rsid w:val="00D95C5F"/>
    <w:rsid w:val="00EB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4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F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4FA2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A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A4F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F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A4F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6159818-637303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637</Words>
  <Characters>3631</Characters>
  <Application>Microsoft Office Word</Application>
  <DocSecurity>0</DocSecurity>
  <Lines>30</Lines>
  <Paragraphs>8</Paragraphs>
  <ScaleCrop>false</ScaleCrop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22</cp:revision>
  <dcterms:created xsi:type="dcterms:W3CDTF">2018-06-06T12:51:00Z</dcterms:created>
  <dcterms:modified xsi:type="dcterms:W3CDTF">2018-06-19T04:01:00Z</dcterms:modified>
</cp:coreProperties>
</file>